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incident-response-policy"/>
    <w:p>
      <w:pPr>
        <w:pStyle w:val="Heading1"/>
      </w:pPr>
      <w:r>
        <w:t xml:space="preserve">Incident Response Policy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 or following major organizational or regulatory change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establishes procedures for identifying, responding to, and recovering from information security incidents to minimize impact and ensure timely resolution. This policy supports SOC 2 Trust Service Criteria CC7.2 (Incident Response).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to:</w:t>
      </w:r>
      <w:r>
        <w:t xml:space="preserve"> </w:t>
      </w:r>
      <w:r>
        <w:t xml:space="preserve">- All information security incidents</w:t>
      </w:r>
      <w:r>
        <w:t xml:space="preserve"> </w:t>
      </w:r>
      <w:r>
        <w:t xml:space="preserve">- All employees, contractors, and vendors</w:t>
      </w:r>
      <w:r>
        <w:t xml:space="preserve"> </w:t>
      </w:r>
      <w:r>
        <w:t xml:space="preserve">- All information systems and data</w:t>
      </w:r>
      <w:r>
        <w:t xml:space="preserve"> </w:t>
      </w:r>
      <w:r>
        <w:t xml:space="preserve">- All business operations</w:t>
      </w:r>
    </w:p>
    <w:bookmarkEnd w:id="10"/>
    <w:bookmarkStart w:id="11" w:name="incident-definition"/>
    <w:p>
      <w:pPr>
        <w:pStyle w:val="Heading2"/>
      </w:pPr>
      <w:r>
        <w:t xml:space="preserve">3. Incident Definition</w:t>
      </w:r>
    </w:p>
    <w:p>
      <w:pPr>
        <w:pStyle w:val="FirstParagraph"/>
      </w:pPr>
      <w:r>
        <w:t xml:space="preserve">An information security incident is any event that:</w:t>
      </w:r>
      <w:r>
        <w:t xml:space="preserve"> </w:t>
      </w:r>
      <w:r>
        <w:t xml:space="preserve">- Compromises the confidentiality, integrity, or availability of information</w:t>
      </w:r>
      <w:r>
        <w:t xml:space="preserve"> </w:t>
      </w:r>
      <w:r>
        <w:t xml:space="preserve">- Violates security policies or procedures</w:t>
      </w:r>
      <w:r>
        <w:t xml:space="preserve"> </w:t>
      </w:r>
      <w:r>
        <w:t xml:space="preserve">- Threatens information assets or business operations</w:t>
      </w:r>
      <w:r>
        <w:t xml:space="preserve"> </w:t>
      </w:r>
      <w:r>
        <w:t xml:space="preserve">- May result in unauthorized access, disclosure, modification, or destruction</w:t>
      </w:r>
    </w:p>
    <w:bookmarkEnd w:id="11"/>
    <w:bookmarkStart w:id="16" w:name="incident-classification"/>
    <w:p>
      <w:pPr>
        <w:pStyle w:val="Heading2"/>
      </w:pPr>
      <w:r>
        <w:t xml:space="preserve">4. Incident Classification</w:t>
      </w:r>
    </w:p>
    <w:bookmarkStart w:id="12" w:name="critical"/>
    <w:p>
      <w:pPr>
        <w:pStyle w:val="Heading3"/>
      </w:pPr>
      <w:r>
        <w:t xml:space="preserve">4.1 Critical</w:t>
      </w:r>
    </w:p>
    <w:p>
      <w:pPr>
        <w:pStyle w:val="Compact"/>
        <w:numPr>
          <w:ilvl w:val="0"/>
          <w:numId w:val="1001"/>
        </w:numPr>
      </w:pPr>
      <w:r>
        <w:t xml:space="preserve">Active data breach or exfiltration</w:t>
      </w:r>
    </w:p>
    <w:p>
      <w:pPr>
        <w:pStyle w:val="Compact"/>
        <w:numPr>
          <w:ilvl w:val="0"/>
          <w:numId w:val="1001"/>
        </w:numPr>
      </w:pPr>
      <w:r>
        <w:t xml:space="preserve">Ransomware attack</w:t>
      </w:r>
    </w:p>
    <w:p>
      <w:pPr>
        <w:pStyle w:val="Compact"/>
        <w:numPr>
          <w:ilvl w:val="0"/>
          <w:numId w:val="1001"/>
        </w:numPr>
      </w:pPr>
      <w:r>
        <w:t xml:space="preserve">Complete service outage</w:t>
      </w:r>
    </w:p>
    <w:p>
      <w:pPr>
        <w:pStyle w:val="Compact"/>
        <w:numPr>
          <w:ilvl w:val="0"/>
          <w:numId w:val="1001"/>
        </w:numPr>
      </w:pPr>
      <w:r>
        <w:t xml:space="preserve">Unauthorized administrative access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Response Time:</w:t>
      </w:r>
      <w:r>
        <w:t xml:space="preserve"> </w:t>
      </w:r>
      <w:r>
        <w:t xml:space="preserve">Immediate (within 1 hour)</w:t>
      </w:r>
    </w:p>
    <w:bookmarkEnd w:id="12"/>
    <w:bookmarkStart w:id="13" w:name="high"/>
    <w:p>
      <w:pPr>
        <w:pStyle w:val="Heading3"/>
      </w:pPr>
      <w:r>
        <w:t xml:space="preserve">4.2 High</w:t>
      </w:r>
    </w:p>
    <w:p>
      <w:pPr>
        <w:pStyle w:val="Compact"/>
        <w:numPr>
          <w:ilvl w:val="0"/>
          <w:numId w:val="1002"/>
        </w:numPr>
      </w:pPr>
      <w:r>
        <w:t xml:space="preserve">Unauthorized access to sensitive data</w:t>
      </w:r>
    </w:p>
    <w:p>
      <w:pPr>
        <w:pStyle w:val="Compact"/>
        <w:numPr>
          <w:ilvl w:val="0"/>
          <w:numId w:val="1002"/>
        </w:numPr>
      </w:pPr>
      <w:r>
        <w:t xml:space="preserve">Privilege escalation</w:t>
      </w:r>
    </w:p>
    <w:p>
      <w:pPr>
        <w:pStyle w:val="Compact"/>
        <w:numPr>
          <w:ilvl w:val="0"/>
          <w:numId w:val="1002"/>
        </w:numPr>
      </w:pPr>
      <w:r>
        <w:t xml:space="preserve">Exposed credentials</w:t>
      </w:r>
    </w:p>
    <w:p>
      <w:pPr>
        <w:pStyle w:val="Compact"/>
        <w:numPr>
          <w:ilvl w:val="0"/>
          <w:numId w:val="1002"/>
        </w:numPr>
      </w:pPr>
      <w:r>
        <w:t xml:space="preserve">Significant data loss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 Time:</w:t>
      </w:r>
      <w:r>
        <w:t xml:space="preserve"> </w:t>
      </w:r>
      <w:r>
        <w:t xml:space="preserve">Within 4 hours</w:t>
      </w:r>
    </w:p>
    <w:bookmarkEnd w:id="13"/>
    <w:bookmarkStart w:id="14" w:name="medium"/>
    <w:p>
      <w:pPr>
        <w:pStyle w:val="Heading3"/>
      </w:pPr>
      <w:r>
        <w:t xml:space="preserve">4.3 Medium</w:t>
      </w:r>
    </w:p>
    <w:p>
      <w:pPr>
        <w:pStyle w:val="Compact"/>
        <w:numPr>
          <w:ilvl w:val="0"/>
          <w:numId w:val="1003"/>
        </w:numPr>
      </w:pPr>
      <w:r>
        <w:t xml:space="preserve">Failed security controls</w:t>
      </w:r>
    </w:p>
    <w:p>
      <w:pPr>
        <w:pStyle w:val="Compact"/>
        <w:numPr>
          <w:ilvl w:val="0"/>
          <w:numId w:val="1003"/>
        </w:numPr>
      </w:pPr>
      <w:r>
        <w:t xml:space="preserve">Policy violations</w:t>
      </w:r>
    </w:p>
    <w:p>
      <w:pPr>
        <w:pStyle w:val="Compact"/>
        <w:numPr>
          <w:ilvl w:val="0"/>
          <w:numId w:val="1003"/>
        </w:numPr>
      </w:pPr>
      <w:r>
        <w:t xml:space="preserve">Suspicious activity requiring investigation</w:t>
      </w:r>
    </w:p>
    <w:p>
      <w:pPr>
        <w:pStyle w:val="Compact"/>
        <w:numPr>
          <w:ilvl w:val="0"/>
          <w:numId w:val="1003"/>
        </w:numPr>
      </w:pPr>
      <w:r>
        <w:t xml:space="preserve">Minor data exposure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Response Time:</w:t>
      </w:r>
      <w:r>
        <w:t xml:space="preserve"> </w:t>
      </w:r>
      <w:r>
        <w:t xml:space="preserve">Within 24 hours</w:t>
      </w:r>
    </w:p>
    <w:bookmarkEnd w:id="14"/>
    <w:bookmarkStart w:id="15" w:name="low"/>
    <w:p>
      <w:pPr>
        <w:pStyle w:val="Heading3"/>
      </w:pPr>
      <w:r>
        <w:t xml:space="preserve">4.4 Low</w:t>
      </w:r>
    </w:p>
    <w:p>
      <w:pPr>
        <w:pStyle w:val="Compact"/>
        <w:numPr>
          <w:ilvl w:val="0"/>
          <w:numId w:val="1004"/>
        </w:numPr>
      </w:pPr>
      <w:r>
        <w:t xml:space="preserve">Potential vulnerabilities</w:t>
      </w:r>
    </w:p>
    <w:p>
      <w:pPr>
        <w:pStyle w:val="Compact"/>
        <w:numPr>
          <w:ilvl w:val="0"/>
          <w:numId w:val="1004"/>
        </w:numPr>
      </w:pPr>
      <w:r>
        <w:t xml:space="preserve">Policy non-compliance</w:t>
      </w:r>
    </w:p>
    <w:p>
      <w:pPr>
        <w:pStyle w:val="Compact"/>
        <w:numPr>
          <w:ilvl w:val="0"/>
          <w:numId w:val="1004"/>
        </w:numPr>
      </w:pPr>
      <w:r>
        <w:t xml:space="preserve">Informational security events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Response Time:</w:t>
      </w:r>
      <w:r>
        <w:t xml:space="preserve"> </w:t>
      </w:r>
      <w:r>
        <w:t xml:space="preserve">Within 72 hours</w:t>
      </w:r>
    </w:p>
    <w:bookmarkEnd w:id="15"/>
    <w:bookmarkEnd w:id="16"/>
    <w:bookmarkStart w:id="18" w:name="incident-response-team"/>
    <w:p>
      <w:pPr>
        <w:pStyle w:val="Heading2"/>
      </w:pPr>
      <w:r>
        <w:t xml:space="preserve">5. Incident Response Team</w:t>
      </w:r>
    </w:p>
    <w:bookmarkStart w:id="17" w:name="team-roles"/>
    <w:p>
      <w:pPr>
        <w:pStyle w:val="Heading3"/>
      </w:pPr>
      <w:r>
        <w:t xml:space="preserve">5.1 Team Roles</w:t>
      </w:r>
    </w:p>
    <w:p>
      <w:pPr>
        <w:pStyle w:val="FirstParagraph"/>
      </w:pPr>
      <w:r>
        <w:rPr>
          <w:b/>
          <w:bCs/>
        </w:rPr>
        <w:t xml:space="preserve">Incident Response Lead:</w:t>
      </w:r>
      <w:r>
        <w:t xml:space="preserve"> </w:t>
      </w:r>
      <w:r>
        <w:t xml:space="preserve">- Overall incident coordination</w:t>
      </w:r>
      <w:r>
        <w:t xml:space="preserve"> </w:t>
      </w:r>
      <w:r>
        <w:t xml:space="preserve">- Decision making</w:t>
      </w:r>
      <w:r>
        <w:t xml:space="preserve"> </w:t>
      </w:r>
      <w:r>
        <w:t xml:space="preserve">- Stakeholder communication</w:t>
      </w:r>
    </w:p>
    <w:p>
      <w:pPr>
        <w:pStyle w:val="BodyText"/>
      </w:pPr>
      <w:r>
        <w:rPr>
          <w:b/>
          <w:bCs/>
        </w:rPr>
        <w:t xml:space="preserve">Technical Response Team:</w:t>
      </w:r>
      <w:r>
        <w:t xml:space="preserve"> </w:t>
      </w:r>
      <w:r>
        <w:t xml:space="preserve">- System administrators</w:t>
      </w:r>
      <w:r>
        <w:t xml:space="preserve"> </w:t>
      </w:r>
      <w:r>
        <w:t xml:space="preserve">- Network engineers</w:t>
      </w:r>
      <w:r>
        <w:t xml:space="preserve"> </w:t>
      </w:r>
      <w:r>
        <w:t xml:space="preserve">- Security analysts</w:t>
      </w:r>
      <w:r>
        <w:t xml:space="preserve"> </w:t>
      </w:r>
      <w:r>
        <w:t xml:space="preserve">- Application developers</w:t>
      </w:r>
    </w:p>
    <w:p>
      <w:pPr>
        <w:pStyle w:val="BodyText"/>
      </w:pPr>
      <w:r>
        <w:rPr>
          <w:b/>
          <w:bCs/>
        </w:rPr>
        <w:t xml:space="preserve">Legal/Compliance:</w:t>
      </w:r>
      <w:r>
        <w:t xml:space="preserve"> </w:t>
      </w:r>
      <w:r>
        <w:t xml:space="preserve">- Legal counsel</w:t>
      </w:r>
      <w:r>
        <w:t xml:space="preserve"> </w:t>
      </w:r>
      <w:r>
        <w:t xml:space="preserve">- Compliance officer</w:t>
      </w:r>
      <w:r>
        <w:t xml:space="preserve"> </w:t>
      </w:r>
      <w:r>
        <w:t xml:space="preserve">- Regulatory requirements</w:t>
      </w:r>
    </w:p>
    <w:p>
      <w:pPr>
        <w:pStyle w:val="BodyText"/>
      </w:pPr>
      <w:r>
        <w:rPr>
          <w:b/>
          <w:bCs/>
        </w:rPr>
        <w:t xml:space="preserve">Communication:</w:t>
      </w:r>
      <w:r>
        <w:t xml:space="preserve"> </w:t>
      </w:r>
      <w:r>
        <w:t xml:space="preserve">- Management</w:t>
      </w:r>
      <w:r>
        <w:t xml:space="preserve"> </w:t>
      </w:r>
      <w:r>
        <w:t xml:space="preserve">- Public relations</w:t>
      </w:r>
      <w:r>
        <w:t xml:space="preserve"> </w:t>
      </w:r>
      <w:r>
        <w:t xml:space="preserve">- Customer communication</w:t>
      </w:r>
    </w:p>
    <w:bookmarkEnd w:id="17"/>
    <w:bookmarkEnd w:id="18"/>
    <w:bookmarkStart w:id="25" w:name="incident-response-procedures"/>
    <w:p>
      <w:pPr>
        <w:pStyle w:val="Heading2"/>
      </w:pPr>
      <w:r>
        <w:t xml:space="preserve">6. Incident Response Procedures</w:t>
      </w:r>
    </w:p>
    <w:bookmarkStart w:id="19" w:name="detection-and-reporting"/>
    <w:p>
      <w:pPr>
        <w:pStyle w:val="Heading3"/>
      </w:pPr>
      <w:r>
        <w:t xml:space="preserve">6.1 Detection and Reporting</w:t>
      </w:r>
    </w:p>
    <w:p>
      <w:pPr>
        <w:pStyle w:val="FirstParagraph"/>
      </w:pPr>
      <w:r>
        <w:rPr>
          <w:b/>
          <w:bCs/>
        </w:rPr>
        <w:t xml:space="preserve">Detection Methods:</w:t>
      </w:r>
      <w:r>
        <w:t xml:space="preserve"> </w:t>
      </w:r>
      <w:r>
        <w:t xml:space="preserve">- Security monitoring systems</w:t>
      </w:r>
      <w:r>
        <w:t xml:space="preserve"> </w:t>
      </w:r>
      <w:r>
        <w:t xml:space="preserve">- User reports</w:t>
      </w:r>
      <w:r>
        <w:t xml:space="preserve"> </w:t>
      </w:r>
      <w:r>
        <w:t xml:space="preserve">- Automated alerts</w:t>
      </w:r>
      <w:r>
        <w:t xml:space="preserve"> </w:t>
      </w:r>
      <w:r>
        <w:t xml:space="preserve">- External notifications</w:t>
      </w:r>
    </w:p>
    <w:p>
      <w:pPr>
        <w:pStyle w:val="BodyText"/>
      </w:pPr>
      <w:r>
        <w:rPr>
          <w:b/>
          <w:bCs/>
        </w:rPr>
        <w:t xml:space="preserve">Reporting:</w:t>
      </w:r>
      <w:r>
        <w:t xml:space="preserve"> </w:t>
      </w:r>
      <w:r>
        <w:t xml:space="preserve">- Report immediately to security@ecometricx.com</w:t>
      </w:r>
      <w:r>
        <w:t xml:space="preserve"> </w:t>
      </w:r>
      <w:r>
        <w:t xml:space="preserve">- Include all relevant details</w:t>
      </w:r>
      <w:r>
        <w:t xml:space="preserve"> </w:t>
      </w:r>
      <w:r>
        <w:t xml:space="preserve">- Do not delay reporting</w:t>
      </w:r>
      <w:r>
        <w:t xml:space="preserve"> </w:t>
      </w:r>
      <w:r>
        <w:t xml:space="preserve">- Preserve evidence</w:t>
      </w:r>
    </w:p>
    <w:bookmarkEnd w:id="19"/>
    <w:bookmarkStart w:id="20" w:name="initial-assessment"/>
    <w:p>
      <w:pPr>
        <w:pStyle w:val="Heading3"/>
      </w:pPr>
      <w:r>
        <w:t xml:space="preserve">6.2 Initial Assessment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 Acknowledge incident report</w:t>
      </w:r>
      <w:r>
        <w:t xml:space="preserve"> </w:t>
      </w:r>
      <w:r>
        <w:t xml:space="preserve">2. Classify incident severity</w:t>
      </w:r>
      <w:r>
        <w:t xml:space="preserve"> </w:t>
      </w:r>
      <w:r>
        <w:t xml:space="preserve">3. Assess initial impact and scope</w:t>
      </w:r>
      <w:r>
        <w:t xml:space="preserve"> </w:t>
      </w:r>
      <w:r>
        <w:t xml:space="preserve">4. Identify affected systems and data</w:t>
      </w:r>
      <w:r>
        <w:t xml:space="preserve"> </w:t>
      </w:r>
      <w:r>
        <w:t xml:space="preserve">5. Determine immediate containment needs</w:t>
      </w:r>
      <w:r>
        <w:t xml:space="preserve"> </w:t>
      </w:r>
      <w:r>
        <w:t xml:space="preserve">6. Activate incident response team if needed</w:t>
      </w:r>
    </w:p>
    <w:bookmarkEnd w:id="20"/>
    <w:bookmarkStart w:id="21" w:name="containment"/>
    <w:p>
      <w:pPr>
        <w:pStyle w:val="Heading3"/>
      </w:pPr>
      <w:r>
        <w:t xml:space="preserve">6.3 Containment</w:t>
      </w:r>
    </w:p>
    <w:p>
      <w:pPr>
        <w:pStyle w:val="FirstParagraph"/>
      </w:pPr>
      <w:r>
        <w:rPr>
          <w:b/>
          <w:bCs/>
        </w:rPr>
        <w:t xml:space="preserve">Immediate Actions:</w:t>
      </w:r>
      <w:r>
        <w:t xml:space="preserve"> </w:t>
      </w:r>
      <w:r>
        <w:t xml:space="preserve">- Isolate affected systems</w:t>
      </w:r>
      <w:r>
        <w:t xml:space="preserve"> </w:t>
      </w:r>
      <w:r>
        <w:t xml:space="preserve">- Preserve evidence</w:t>
      </w:r>
      <w:r>
        <w:t xml:space="preserve"> </w:t>
      </w:r>
      <w:r>
        <w:t xml:space="preserve">- Document all actions</w:t>
      </w:r>
      <w:r>
        <w:t xml:space="preserve"> </w:t>
      </w:r>
      <w:r>
        <w:t xml:space="preserve">- Notify stakeholders</w:t>
      </w:r>
    </w:p>
    <w:p>
      <w:pPr>
        <w:pStyle w:val="BodyText"/>
      </w:pPr>
      <w:r>
        <w:rPr>
          <w:b/>
          <w:bCs/>
        </w:rPr>
        <w:t xml:space="preserve">Containment Strategies:</w:t>
      </w:r>
      <w:r>
        <w:t xml:space="preserve"> </w:t>
      </w:r>
      <w:r>
        <w:t xml:space="preserve">- Network isolation</w:t>
      </w:r>
      <w:r>
        <w:t xml:space="preserve"> </w:t>
      </w:r>
      <w:r>
        <w:t xml:space="preserve">- Access revocation</w:t>
      </w:r>
      <w:r>
        <w:t xml:space="preserve"> </w:t>
      </w:r>
      <w:r>
        <w:t xml:space="preserve">- System shutdown (if necessary)</w:t>
      </w:r>
      <w:r>
        <w:t xml:space="preserve"> </w:t>
      </w:r>
      <w:r>
        <w:t xml:space="preserve">- Traffic blocking</w:t>
      </w:r>
    </w:p>
    <w:bookmarkEnd w:id="21"/>
    <w:bookmarkStart w:id="22" w:name="eradication"/>
    <w:p>
      <w:pPr>
        <w:pStyle w:val="Heading3"/>
      </w:pPr>
      <w:r>
        <w:t xml:space="preserve">6.4 Eradication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 Remove threat from systems</w:t>
      </w:r>
      <w:r>
        <w:t xml:space="preserve"> </w:t>
      </w:r>
      <w:r>
        <w:t xml:space="preserve">2. Patch vulnerabilities</w:t>
      </w:r>
      <w:r>
        <w:t xml:space="preserve"> </w:t>
      </w:r>
      <w:r>
        <w:t xml:space="preserve">3. Update security controls</w:t>
      </w:r>
      <w:r>
        <w:t xml:space="preserve"> </w:t>
      </w:r>
      <w:r>
        <w:t xml:space="preserve">4. Verify threat removal</w:t>
      </w:r>
      <w:r>
        <w:t xml:space="preserve"> </w:t>
      </w:r>
      <w:r>
        <w:t xml:space="preserve">5. Document actions taken</w:t>
      </w:r>
    </w:p>
    <w:bookmarkEnd w:id="22"/>
    <w:bookmarkStart w:id="23" w:name="recovery"/>
    <w:p>
      <w:pPr>
        <w:pStyle w:val="Heading3"/>
      </w:pPr>
      <w:r>
        <w:t xml:space="preserve">6.5 Recovery</w:t>
      </w:r>
    </w:p>
    <w:p>
      <w:pPr>
        <w:pStyle w:val="FirstParagraph"/>
      </w:pPr>
      <w:r>
        <w:rPr>
          <w:b/>
          <w:bCs/>
        </w:rPr>
        <w:t xml:space="preserve">Steps:</w:t>
      </w:r>
      <w:r>
        <w:t xml:space="preserve"> </w:t>
      </w:r>
      <w:r>
        <w:t xml:space="preserve">1. Restore systems from clean backups</w:t>
      </w:r>
      <w:r>
        <w:t xml:space="preserve"> </w:t>
      </w:r>
      <w:r>
        <w:t xml:space="preserve">2. Verify system integrity</w:t>
      </w:r>
      <w:r>
        <w:t xml:space="preserve"> </w:t>
      </w:r>
      <w:r>
        <w:t xml:space="preserve">3. Resume normal operations gradually</w:t>
      </w:r>
      <w:r>
        <w:t xml:space="preserve"> </w:t>
      </w:r>
      <w:r>
        <w:t xml:space="preserve">4. Monitor for recurrence</w:t>
      </w:r>
      <w:r>
        <w:t xml:space="preserve"> </w:t>
      </w:r>
      <w:r>
        <w:t xml:space="preserve">5. Document recovery process</w:t>
      </w:r>
    </w:p>
    <w:bookmarkEnd w:id="23"/>
    <w:bookmarkStart w:id="24" w:name="post-incident"/>
    <w:p>
      <w:pPr>
        <w:pStyle w:val="Heading3"/>
      </w:pPr>
      <w:r>
        <w:t xml:space="preserve">6.6 Post-Incident</w:t>
      </w:r>
    </w:p>
    <w:p>
      <w:pPr>
        <w:pStyle w:val="FirstParagraph"/>
      </w:pPr>
      <w:r>
        <w:rPr>
          <w:b/>
          <w:bCs/>
        </w:rPr>
        <w:t xml:space="preserve">Activities:</w:t>
      </w:r>
      <w:r>
        <w:t xml:space="preserve"> </w:t>
      </w:r>
      <w:r>
        <w:t xml:space="preserve">1. Complete incident report</w:t>
      </w:r>
      <w:r>
        <w:t xml:space="preserve"> </w:t>
      </w:r>
      <w:r>
        <w:t xml:space="preserve">2. Conduct root cause analysis</w:t>
      </w:r>
      <w:r>
        <w:t xml:space="preserve"> </w:t>
      </w:r>
      <w:r>
        <w:t xml:space="preserve">3. Develop remediation plan</w:t>
      </w:r>
      <w:r>
        <w:t xml:space="preserve"> </w:t>
      </w:r>
      <w:r>
        <w:t xml:space="preserve">4. Update policies and procedures</w:t>
      </w:r>
      <w:r>
        <w:t xml:space="preserve"> </w:t>
      </w:r>
      <w:r>
        <w:t xml:space="preserve">5. Conduct lessons learned review</w:t>
      </w:r>
      <w:r>
        <w:t xml:space="preserve"> </w:t>
      </w:r>
      <w:r>
        <w:t xml:space="preserve">6. Implement improvements</w:t>
      </w:r>
    </w:p>
    <w:bookmarkEnd w:id="24"/>
    <w:bookmarkEnd w:id="25"/>
    <w:bookmarkStart w:id="28" w:name="communication-procedures"/>
    <w:p>
      <w:pPr>
        <w:pStyle w:val="Heading2"/>
      </w:pPr>
      <w:r>
        <w:t xml:space="preserve">7. Communication Procedures</w:t>
      </w:r>
    </w:p>
    <w:bookmarkStart w:id="26" w:name="internal-communication"/>
    <w:p>
      <w:pPr>
        <w:pStyle w:val="Heading3"/>
      </w:pPr>
      <w:r>
        <w:t xml:space="preserve">7.1 Internal Communication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 Team:</w:t>
      </w:r>
      <w:r>
        <w:t xml:space="preserve"> </w:t>
      </w:r>
      <w:r>
        <w:t xml:space="preserve">Immediate notification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Management:</w:t>
      </w:r>
      <w:r>
        <w:t xml:space="preserve"> </w:t>
      </w:r>
      <w:r>
        <w:t xml:space="preserve">Within 1 hour for critical/high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 Team:</w:t>
      </w:r>
      <w:r>
        <w:t xml:space="preserve"> </w:t>
      </w:r>
      <w:r>
        <w:t xml:space="preserve">As needed for technical response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Legal/Compliance:</w:t>
      </w:r>
      <w:r>
        <w:t xml:space="preserve"> </w:t>
      </w:r>
      <w:r>
        <w:t xml:space="preserve">For data breaches or regulatory requirements</w:t>
      </w:r>
    </w:p>
    <w:bookmarkEnd w:id="26"/>
    <w:bookmarkStart w:id="27" w:name="external-communication"/>
    <w:p>
      <w:pPr>
        <w:pStyle w:val="Heading3"/>
      </w:pPr>
      <w:r>
        <w:t xml:space="preserve">7.2 External Communication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Customers:</w:t>
      </w:r>
      <w:r>
        <w:t xml:space="preserve"> </w:t>
      </w:r>
      <w:r>
        <w:t xml:space="preserve">Per data breach notification requirements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Regulatory Bodies:</w:t>
      </w:r>
      <w:r>
        <w:t xml:space="preserve"> </w:t>
      </w:r>
      <w:r>
        <w:t xml:space="preserve">Per regulatory requirements (72 hours for GDPR)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Law Enforcement:</w:t>
      </w:r>
      <w:r>
        <w:t xml:space="preserve"> </w:t>
      </w:r>
      <w:r>
        <w:t xml:space="preserve">If criminal activity suspected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Media:</w:t>
      </w:r>
      <w:r>
        <w:t xml:space="preserve"> </w:t>
      </w:r>
      <w:r>
        <w:t xml:space="preserve">Through designated spokesperson only</w:t>
      </w:r>
    </w:p>
    <w:bookmarkEnd w:id="27"/>
    <w:bookmarkEnd w:id="28"/>
    <w:bookmarkStart w:id="31" w:name="incident-documentation"/>
    <w:p>
      <w:pPr>
        <w:pStyle w:val="Heading2"/>
      </w:pPr>
      <w:r>
        <w:t xml:space="preserve">8. Incident Documentation</w:t>
      </w:r>
    </w:p>
    <w:bookmarkStart w:id="29" w:name="required-documentation"/>
    <w:p>
      <w:pPr>
        <w:pStyle w:val="Heading3"/>
      </w:pPr>
      <w:r>
        <w:t xml:space="preserve">8.1 Required Documentation</w:t>
      </w:r>
    </w:p>
    <w:p>
      <w:pPr>
        <w:pStyle w:val="Compact"/>
        <w:numPr>
          <w:ilvl w:val="0"/>
          <w:numId w:val="1007"/>
        </w:numPr>
      </w:pPr>
      <w:r>
        <w:t xml:space="preserve">Incident report form</w:t>
      </w:r>
    </w:p>
    <w:p>
      <w:pPr>
        <w:pStyle w:val="Compact"/>
        <w:numPr>
          <w:ilvl w:val="0"/>
          <w:numId w:val="1007"/>
        </w:numPr>
      </w:pPr>
      <w:r>
        <w:t xml:space="preserve">Timeline of events</w:t>
      </w:r>
    </w:p>
    <w:p>
      <w:pPr>
        <w:pStyle w:val="Compact"/>
        <w:numPr>
          <w:ilvl w:val="0"/>
          <w:numId w:val="1007"/>
        </w:numPr>
      </w:pPr>
      <w:r>
        <w:t xml:space="preserve">Actions taken</w:t>
      </w:r>
    </w:p>
    <w:p>
      <w:pPr>
        <w:pStyle w:val="Compact"/>
        <w:numPr>
          <w:ilvl w:val="0"/>
          <w:numId w:val="1007"/>
        </w:numPr>
      </w:pPr>
      <w:r>
        <w:t xml:space="preserve">Evidence collected</w:t>
      </w:r>
    </w:p>
    <w:p>
      <w:pPr>
        <w:pStyle w:val="Compact"/>
        <w:numPr>
          <w:ilvl w:val="0"/>
          <w:numId w:val="1007"/>
        </w:numPr>
      </w:pPr>
      <w:r>
        <w:t xml:space="preserve">Communications sent</w:t>
      </w:r>
    </w:p>
    <w:p>
      <w:pPr>
        <w:pStyle w:val="Compact"/>
        <w:numPr>
          <w:ilvl w:val="0"/>
          <w:numId w:val="1007"/>
        </w:numPr>
      </w:pPr>
      <w:r>
        <w:t xml:space="preserve">Lessons learned</w:t>
      </w:r>
    </w:p>
    <w:p>
      <w:pPr>
        <w:pStyle w:val="Compact"/>
        <w:numPr>
          <w:ilvl w:val="0"/>
          <w:numId w:val="1007"/>
        </w:numPr>
      </w:pPr>
      <w:r>
        <w:t xml:space="preserve">Remediation plan</w:t>
      </w:r>
    </w:p>
    <w:bookmarkEnd w:id="29"/>
    <w:bookmarkStart w:id="30" w:name="documentation-requirements"/>
    <w:p>
      <w:pPr>
        <w:pStyle w:val="Heading3"/>
      </w:pPr>
      <w:r>
        <w:t xml:space="preserve">8.2 Documentation Requirements</w:t>
      </w:r>
    </w:p>
    <w:p>
      <w:pPr>
        <w:pStyle w:val="Compact"/>
        <w:numPr>
          <w:ilvl w:val="0"/>
          <w:numId w:val="1008"/>
        </w:numPr>
      </w:pPr>
      <w:r>
        <w:t xml:space="preserve">Accurate and complete</w:t>
      </w:r>
    </w:p>
    <w:p>
      <w:pPr>
        <w:pStyle w:val="Compact"/>
        <w:numPr>
          <w:ilvl w:val="0"/>
          <w:numId w:val="1008"/>
        </w:numPr>
      </w:pPr>
      <w:r>
        <w:t xml:space="preserve">Timely documentation</w:t>
      </w:r>
    </w:p>
    <w:p>
      <w:pPr>
        <w:pStyle w:val="Compact"/>
        <w:numPr>
          <w:ilvl w:val="0"/>
          <w:numId w:val="1008"/>
        </w:numPr>
      </w:pPr>
      <w:r>
        <w:t xml:space="preserve">Secure storage</w:t>
      </w:r>
    </w:p>
    <w:p>
      <w:pPr>
        <w:pStyle w:val="Compact"/>
        <w:numPr>
          <w:ilvl w:val="0"/>
          <w:numId w:val="1008"/>
        </w:numPr>
      </w:pPr>
      <w:r>
        <w:t xml:space="preserve">Retention per regulatory requirements</w:t>
      </w:r>
    </w:p>
    <w:bookmarkEnd w:id="30"/>
    <w:bookmarkEnd w:id="31"/>
    <w:bookmarkStart w:id="36" w:name="specific-incident-scenarios"/>
    <w:p>
      <w:pPr>
        <w:pStyle w:val="Heading2"/>
      </w:pPr>
      <w:r>
        <w:t xml:space="preserve">9. Specific Incident Scenarios</w:t>
      </w:r>
    </w:p>
    <w:bookmarkStart w:id="32" w:name="data-breach"/>
    <w:p>
      <w:pPr>
        <w:pStyle w:val="Heading3"/>
      </w:pPr>
      <w:r>
        <w:t xml:space="preserve">9.1 Data Breach</w:t>
      </w:r>
    </w:p>
    <w:p>
      <w:pPr>
        <w:pStyle w:val="Compact"/>
        <w:numPr>
          <w:ilvl w:val="0"/>
          <w:numId w:val="1009"/>
        </w:numPr>
      </w:pPr>
      <w:r>
        <w:t xml:space="preserve">Immediate containment</w:t>
      </w:r>
    </w:p>
    <w:p>
      <w:pPr>
        <w:pStyle w:val="Compact"/>
        <w:numPr>
          <w:ilvl w:val="0"/>
          <w:numId w:val="1009"/>
        </w:numPr>
      </w:pPr>
      <w:r>
        <w:t xml:space="preserve">Assess data exposure</w:t>
      </w:r>
    </w:p>
    <w:p>
      <w:pPr>
        <w:pStyle w:val="Compact"/>
        <w:numPr>
          <w:ilvl w:val="0"/>
          <w:numId w:val="1009"/>
        </w:numPr>
      </w:pPr>
      <w:r>
        <w:t xml:space="preserve">Notify affected parties per requirements</w:t>
      </w:r>
    </w:p>
    <w:p>
      <w:pPr>
        <w:pStyle w:val="Compact"/>
        <w:numPr>
          <w:ilvl w:val="0"/>
          <w:numId w:val="1009"/>
        </w:numPr>
      </w:pPr>
      <w:r>
        <w:t xml:space="preserve">Regulatory notification (72 hours for GDPR)</w:t>
      </w:r>
    </w:p>
    <w:p>
      <w:pPr>
        <w:pStyle w:val="Compact"/>
        <w:numPr>
          <w:ilvl w:val="0"/>
          <w:numId w:val="1009"/>
        </w:numPr>
      </w:pPr>
      <w:r>
        <w:t xml:space="preserve">Credit monitoring if applicable</w:t>
      </w:r>
    </w:p>
    <w:p>
      <w:pPr>
        <w:pStyle w:val="Compact"/>
        <w:numPr>
          <w:ilvl w:val="0"/>
          <w:numId w:val="1009"/>
        </w:numPr>
      </w:pPr>
      <w:r>
        <w:t xml:space="preserve">Post-incident review</w:t>
      </w:r>
    </w:p>
    <w:bookmarkEnd w:id="32"/>
    <w:bookmarkStart w:id="33" w:name="malwareransomware"/>
    <w:p>
      <w:pPr>
        <w:pStyle w:val="Heading3"/>
      </w:pPr>
      <w:r>
        <w:t xml:space="preserve">9.2 Malware/Ransomware</w:t>
      </w:r>
    </w:p>
    <w:p>
      <w:pPr>
        <w:pStyle w:val="Compact"/>
        <w:numPr>
          <w:ilvl w:val="0"/>
          <w:numId w:val="1010"/>
        </w:numPr>
      </w:pPr>
      <w:r>
        <w:t xml:space="preserve">Isolate affected systems</w:t>
      </w:r>
    </w:p>
    <w:p>
      <w:pPr>
        <w:pStyle w:val="Compact"/>
        <w:numPr>
          <w:ilvl w:val="0"/>
          <w:numId w:val="1010"/>
        </w:numPr>
      </w:pPr>
      <w:r>
        <w:t xml:space="preserve">Identify malware type</w:t>
      </w:r>
    </w:p>
    <w:p>
      <w:pPr>
        <w:pStyle w:val="Compact"/>
        <w:numPr>
          <w:ilvl w:val="0"/>
          <w:numId w:val="1010"/>
        </w:numPr>
      </w:pPr>
      <w:r>
        <w:t xml:space="preserve">Remove malware</w:t>
      </w:r>
    </w:p>
    <w:p>
      <w:pPr>
        <w:pStyle w:val="Compact"/>
        <w:numPr>
          <w:ilvl w:val="0"/>
          <w:numId w:val="1010"/>
        </w:numPr>
      </w:pPr>
      <w:r>
        <w:t xml:space="preserve">Restore from clean backups</w:t>
      </w:r>
    </w:p>
    <w:p>
      <w:pPr>
        <w:pStyle w:val="Compact"/>
        <w:numPr>
          <w:ilvl w:val="0"/>
          <w:numId w:val="1010"/>
        </w:numPr>
      </w:pPr>
      <w:r>
        <w:t xml:space="preserve">Update security controls</w:t>
      </w:r>
    </w:p>
    <w:p>
      <w:pPr>
        <w:pStyle w:val="Compact"/>
        <w:numPr>
          <w:ilvl w:val="0"/>
          <w:numId w:val="1010"/>
        </w:numPr>
      </w:pPr>
      <w:r>
        <w:t xml:space="preserve">User awareness</w:t>
      </w:r>
    </w:p>
    <w:bookmarkEnd w:id="33"/>
    <w:bookmarkStart w:id="34" w:name="unauthorized-access"/>
    <w:p>
      <w:pPr>
        <w:pStyle w:val="Heading3"/>
      </w:pPr>
      <w:r>
        <w:t xml:space="preserve">9.3 Unauthorized Access</w:t>
      </w:r>
    </w:p>
    <w:p>
      <w:pPr>
        <w:pStyle w:val="Compact"/>
        <w:numPr>
          <w:ilvl w:val="0"/>
          <w:numId w:val="1011"/>
        </w:numPr>
      </w:pPr>
      <w:r>
        <w:t xml:space="preserve">Revoke compromised credentials</w:t>
      </w:r>
    </w:p>
    <w:p>
      <w:pPr>
        <w:pStyle w:val="Compact"/>
        <w:numPr>
          <w:ilvl w:val="0"/>
          <w:numId w:val="1011"/>
        </w:numPr>
      </w:pPr>
      <w:r>
        <w:t xml:space="preserve">Review access logs</w:t>
      </w:r>
    </w:p>
    <w:p>
      <w:pPr>
        <w:pStyle w:val="Compact"/>
        <w:numPr>
          <w:ilvl w:val="0"/>
          <w:numId w:val="1011"/>
        </w:numPr>
      </w:pPr>
      <w:r>
        <w:t xml:space="preserve">Assess data access</w:t>
      </w:r>
    </w:p>
    <w:p>
      <w:pPr>
        <w:pStyle w:val="Compact"/>
        <w:numPr>
          <w:ilvl w:val="0"/>
          <w:numId w:val="1011"/>
        </w:numPr>
      </w:pPr>
      <w:r>
        <w:t xml:space="preserve">Notify affected parties if needed</w:t>
      </w:r>
    </w:p>
    <w:p>
      <w:pPr>
        <w:pStyle w:val="Compact"/>
        <w:numPr>
          <w:ilvl w:val="0"/>
          <w:numId w:val="1011"/>
        </w:numPr>
      </w:pPr>
      <w:r>
        <w:t xml:space="preserve">Strengthen access controls</w:t>
      </w:r>
    </w:p>
    <w:bookmarkEnd w:id="34"/>
    <w:bookmarkStart w:id="35" w:name="denial-of-service"/>
    <w:p>
      <w:pPr>
        <w:pStyle w:val="Heading3"/>
      </w:pPr>
      <w:r>
        <w:t xml:space="preserve">9.4 Denial of Service</w:t>
      </w:r>
    </w:p>
    <w:p>
      <w:pPr>
        <w:pStyle w:val="Compact"/>
        <w:numPr>
          <w:ilvl w:val="0"/>
          <w:numId w:val="1012"/>
        </w:numPr>
      </w:pPr>
      <w:r>
        <w:t xml:space="preserve">Identify attack source</w:t>
      </w:r>
    </w:p>
    <w:p>
      <w:pPr>
        <w:pStyle w:val="Compact"/>
        <w:numPr>
          <w:ilvl w:val="0"/>
          <w:numId w:val="1012"/>
        </w:numPr>
      </w:pPr>
      <w:r>
        <w:t xml:space="preserve">Block attack traffic</w:t>
      </w:r>
    </w:p>
    <w:p>
      <w:pPr>
        <w:pStyle w:val="Compact"/>
        <w:numPr>
          <w:ilvl w:val="0"/>
          <w:numId w:val="1012"/>
        </w:numPr>
      </w:pPr>
      <w:r>
        <w:t xml:space="preserve">Restore service availability</w:t>
      </w:r>
    </w:p>
    <w:p>
      <w:pPr>
        <w:pStyle w:val="Compact"/>
        <w:numPr>
          <w:ilvl w:val="0"/>
          <w:numId w:val="1012"/>
        </w:numPr>
      </w:pPr>
      <w:r>
        <w:t xml:space="preserve">Monitor for recurrence</w:t>
      </w:r>
    </w:p>
    <w:p>
      <w:pPr>
        <w:pStyle w:val="Compact"/>
        <w:numPr>
          <w:ilvl w:val="0"/>
          <w:numId w:val="1012"/>
        </w:numPr>
      </w:pPr>
      <w:r>
        <w:t xml:space="preserve">Update DDoS protections</w:t>
      </w:r>
    </w:p>
    <w:bookmarkEnd w:id="35"/>
    <w:bookmarkEnd w:id="36"/>
    <w:bookmarkStart w:id="37" w:name="cloud-specific-incidents"/>
    <w:p>
      <w:pPr>
        <w:pStyle w:val="Heading2"/>
      </w:pPr>
      <w:r>
        <w:t xml:space="preserve">10. Cloud-Specific Incidents</w:t>
      </w:r>
    </w:p>
    <w:p>
      <w:pPr>
        <w:pStyle w:val="FirstParagraph"/>
      </w:pPr>
      <w:r>
        <w:t xml:space="preserve">For AWS and cloud service incidents, see: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../04_AWS_Specific/AWS_Incident_Response_Procedures.md</w:t>
      </w:r>
    </w:p>
    <w:bookmarkEnd w:id="37"/>
    <w:bookmarkStart w:id="40" w:name="compliance-requirements"/>
    <w:p>
      <w:pPr>
        <w:pStyle w:val="Heading2"/>
      </w:pPr>
      <w:r>
        <w:t xml:space="preserve">11. Compliance Requirements</w:t>
      </w:r>
    </w:p>
    <w:bookmarkStart w:id="38" w:name="soc-2-cc7.2"/>
    <w:p>
      <w:pPr>
        <w:pStyle w:val="Heading3"/>
      </w:pPr>
      <w:r>
        <w:t xml:space="preserve">11.1 SOC 2 CC7.2</w:t>
      </w:r>
    </w:p>
    <w:p>
      <w:pPr>
        <w:pStyle w:val="Compact"/>
        <w:numPr>
          <w:ilvl w:val="0"/>
          <w:numId w:val="1013"/>
        </w:numPr>
      </w:pPr>
      <w:r>
        <w:t xml:space="preserve">System incidents identified and resolved timely</w:t>
      </w:r>
    </w:p>
    <w:p>
      <w:pPr>
        <w:pStyle w:val="Compact"/>
        <w:numPr>
          <w:ilvl w:val="0"/>
          <w:numId w:val="1013"/>
        </w:numPr>
      </w:pPr>
      <w:r>
        <w:t xml:space="preserve">Incident response procedures documented</w:t>
      </w:r>
    </w:p>
    <w:p>
      <w:pPr>
        <w:pStyle w:val="Compact"/>
        <w:numPr>
          <w:ilvl w:val="0"/>
          <w:numId w:val="1013"/>
        </w:numPr>
      </w:pPr>
      <w:r>
        <w:t xml:space="preserve">Incident response team defined</w:t>
      </w:r>
    </w:p>
    <w:p>
      <w:pPr>
        <w:pStyle w:val="Compact"/>
        <w:numPr>
          <w:ilvl w:val="0"/>
          <w:numId w:val="1013"/>
        </w:numPr>
      </w:pPr>
      <w:r>
        <w:t xml:space="preserve">Post-incident review process</w:t>
      </w:r>
    </w:p>
    <w:bookmarkEnd w:id="38"/>
    <w:bookmarkStart w:id="39" w:name="regulatory-requirements"/>
    <w:p>
      <w:pPr>
        <w:pStyle w:val="Heading3"/>
      </w:pPr>
      <w:r>
        <w:t xml:space="preserve">11.2 Regulatory Requirements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GDPR:</w:t>
      </w:r>
      <w:r>
        <w:t xml:space="preserve"> </w:t>
      </w:r>
      <w:r>
        <w:t xml:space="preserve">Breach notification within 72 hours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HIPAA:</w:t>
      </w:r>
      <w:r>
        <w:t xml:space="preserve"> </w:t>
      </w:r>
      <w:r>
        <w:t xml:space="preserve">Breach notification per HIPAA requirements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PCI-DSS:</w:t>
      </w:r>
      <w:r>
        <w:t xml:space="preserve"> </w:t>
      </w:r>
      <w:r>
        <w:t xml:space="preserve">Incident response and breach notification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State Laws:</w:t>
      </w:r>
      <w:r>
        <w:t xml:space="preserve"> </w:t>
      </w:r>
      <w:r>
        <w:t xml:space="preserve">Per applicable state breach notification laws</w:t>
      </w:r>
    </w:p>
    <w:bookmarkEnd w:id="39"/>
    <w:bookmarkEnd w:id="40"/>
    <w:bookmarkStart w:id="43" w:name="training-and-testing"/>
    <w:p>
      <w:pPr>
        <w:pStyle w:val="Heading2"/>
      </w:pPr>
      <w:r>
        <w:t xml:space="preserve">12. Training and Testing</w:t>
      </w:r>
    </w:p>
    <w:bookmarkStart w:id="41" w:name="training"/>
    <w:p>
      <w:pPr>
        <w:pStyle w:val="Heading3"/>
      </w:pPr>
      <w:r>
        <w:t xml:space="preserve">12.1 Training</w:t>
      </w:r>
    </w:p>
    <w:p>
      <w:pPr>
        <w:pStyle w:val="Compact"/>
        <w:numPr>
          <w:ilvl w:val="0"/>
          <w:numId w:val="1015"/>
        </w:numPr>
      </w:pPr>
      <w:r>
        <w:t xml:space="preserve">Incident response training for team members</w:t>
      </w:r>
    </w:p>
    <w:p>
      <w:pPr>
        <w:pStyle w:val="Compact"/>
        <w:numPr>
          <w:ilvl w:val="0"/>
          <w:numId w:val="1015"/>
        </w:numPr>
      </w:pPr>
      <w:r>
        <w:t xml:space="preserve">Annual refresher training</w:t>
      </w:r>
    </w:p>
    <w:p>
      <w:pPr>
        <w:pStyle w:val="Compact"/>
        <w:numPr>
          <w:ilvl w:val="0"/>
          <w:numId w:val="1015"/>
        </w:numPr>
      </w:pPr>
      <w:r>
        <w:t xml:space="preserve">Tabletop exercises</w:t>
      </w:r>
    </w:p>
    <w:p>
      <w:pPr>
        <w:pStyle w:val="Compact"/>
        <w:numPr>
          <w:ilvl w:val="0"/>
          <w:numId w:val="1015"/>
        </w:numPr>
      </w:pPr>
      <w:r>
        <w:t xml:space="preserve">Role-specific training</w:t>
      </w:r>
    </w:p>
    <w:bookmarkEnd w:id="41"/>
    <w:bookmarkStart w:id="42" w:name="testing"/>
    <w:p>
      <w:pPr>
        <w:pStyle w:val="Heading3"/>
      </w:pPr>
      <w:r>
        <w:t xml:space="preserve">12.2 Testing</w:t>
      </w:r>
    </w:p>
    <w:p>
      <w:pPr>
        <w:pStyle w:val="Compact"/>
        <w:numPr>
          <w:ilvl w:val="0"/>
          <w:numId w:val="1016"/>
        </w:numPr>
      </w:pPr>
      <w:r>
        <w:t xml:space="preserve">Annual incident response testing</w:t>
      </w:r>
    </w:p>
    <w:p>
      <w:pPr>
        <w:pStyle w:val="Compact"/>
        <w:numPr>
          <w:ilvl w:val="0"/>
          <w:numId w:val="1016"/>
        </w:numPr>
      </w:pPr>
      <w:r>
        <w:t xml:space="preserve">Tabletop exercises</w:t>
      </w:r>
    </w:p>
    <w:p>
      <w:pPr>
        <w:pStyle w:val="Compact"/>
        <w:numPr>
          <w:ilvl w:val="0"/>
          <w:numId w:val="1016"/>
        </w:numPr>
      </w:pPr>
      <w:r>
        <w:t xml:space="preserve">Post-exercise improvements</w:t>
      </w:r>
    </w:p>
    <w:p>
      <w:pPr>
        <w:pStyle w:val="Compact"/>
        <w:numPr>
          <w:ilvl w:val="0"/>
          <w:numId w:val="1016"/>
        </w:numPr>
      </w:pPr>
      <w:r>
        <w:t xml:space="preserve">Documentation updates</w:t>
      </w:r>
    </w:p>
    <w:bookmarkEnd w:id="42"/>
    <w:bookmarkEnd w:id="43"/>
    <w:bookmarkStart w:id="44" w:name="continuous-improvement"/>
    <w:p>
      <w:pPr>
        <w:pStyle w:val="Heading2"/>
      </w:pPr>
      <w:r>
        <w:t xml:space="preserve">13. Continuous Improvement</w:t>
      </w:r>
    </w:p>
    <w:p>
      <w:pPr>
        <w:pStyle w:val="Compact"/>
        <w:numPr>
          <w:ilvl w:val="0"/>
          <w:numId w:val="1017"/>
        </w:numPr>
      </w:pPr>
      <w:r>
        <w:t xml:space="preserve">Regular review of incident response procedures</w:t>
      </w:r>
    </w:p>
    <w:p>
      <w:pPr>
        <w:pStyle w:val="Compact"/>
        <w:numPr>
          <w:ilvl w:val="0"/>
          <w:numId w:val="1017"/>
        </w:numPr>
      </w:pPr>
      <w:r>
        <w:t xml:space="preserve">Updates based on lessons learned</w:t>
      </w:r>
    </w:p>
    <w:p>
      <w:pPr>
        <w:pStyle w:val="Compact"/>
        <w:numPr>
          <w:ilvl w:val="0"/>
          <w:numId w:val="1017"/>
        </w:numPr>
      </w:pPr>
      <w:r>
        <w:t xml:space="preserve">Technology improvements</w:t>
      </w:r>
    </w:p>
    <w:p>
      <w:pPr>
        <w:pStyle w:val="Compact"/>
        <w:numPr>
          <w:ilvl w:val="0"/>
          <w:numId w:val="1017"/>
        </w:numPr>
      </w:pPr>
      <w:r>
        <w:t xml:space="preserve">Process refinements</w:t>
      </w:r>
    </w:p>
    <w:bookmarkEnd w:id="44"/>
    <w:bookmarkStart w:id="45" w:name="related-policies"/>
    <w:p>
      <w:pPr>
        <w:pStyle w:val="Heading2"/>
      </w:pPr>
      <w:r>
        <w:t xml:space="preserve">14. Related Policies</w:t>
      </w:r>
    </w:p>
    <w:p>
      <w:pPr>
        <w:pStyle w:val="Compact"/>
        <w:numPr>
          <w:ilvl w:val="0"/>
          <w:numId w:val="1018"/>
        </w:numPr>
      </w:pPr>
      <w:r>
        <w:t xml:space="preserve">Information Security Policy</w:t>
      </w:r>
    </w:p>
    <w:p>
      <w:pPr>
        <w:pStyle w:val="Compact"/>
        <w:numPr>
          <w:ilvl w:val="0"/>
          <w:numId w:val="1018"/>
        </w:numPr>
      </w:pPr>
      <w:r>
        <w:t xml:space="preserve">Access Control Policy</w:t>
      </w:r>
    </w:p>
    <w:p>
      <w:pPr>
        <w:pStyle w:val="Compact"/>
        <w:numPr>
          <w:ilvl w:val="0"/>
          <w:numId w:val="1018"/>
        </w:numPr>
      </w:pPr>
      <w:r>
        <w:t xml:space="preserve">Data Classification and Handling Policy</w:t>
      </w:r>
    </w:p>
    <w:p>
      <w:pPr>
        <w:pStyle w:val="Compact"/>
        <w:numPr>
          <w:ilvl w:val="0"/>
          <w:numId w:val="1018"/>
        </w:numPr>
      </w:pPr>
      <w:r>
        <w:t xml:space="preserve">Logging and Monitoring Policy</w:t>
      </w:r>
    </w:p>
    <w:p>
      <w:pPr>
        <w:pStyle w:val="Compact"/>
        <w:numPr>
          <w:ilvl w:val="0"/>
          <w:numId w:val="1018"/>
        </w:numPr>
      </w:pPr>
      <w:r>
        <w:t xml:space="preserve">Business Continuity Plan</w:t>
      </w:r>
    </w:p>
    <w:p>
      <w:pPr>
        <w:pStyle w:val="Compact"/>
        <w:numPr>
          <w:ilvl w:val="0"/>
          <w:numId w:val="1018"/>
        </w:numPr>
      </w:pPr>
      <w:r>
        <w:t xml:space="preserve">Disaster Recovery Plan</w:t>
      </w:r>
    </w:p>
    <w:bookmarkEnd w:id="45"/>
    <w:bookmarkStart w:id="46" w:name="review-cycle"/>
    <w:p>
      <w:pPr>
        <w:pStyle w:val="Heading2"/>
      </w:pPr>
      <w:r>
        <w:t xml:space="preserve">15. Review Cycle</w:t>
      </w:r>
    </w:p>
    <w:p>
      <w:pPr>
        <w:pStyle w:val="FirstParagraph"/>
      </w:pPr>
      <w:r>
        <w:t xml:space="preserve">This policy is reviewed:</w:t>
      </w:r>
      <w:r>
        <w:t xml:space="preserve"> </w:t>
      </w:r>
      <w:r>
        <w:t xml:space="preserve">- Annually</w:t>
      </w:r>
      <w:r>
        <w:t xml:space="preserve"> </w:t>
      </w:r>
      <w:r>
        <w:t xml:space="preserve">- Following major incidents</w:t>
      </w:r>
      <w:r>
        <w:t xml:space="preserve"> </w:t>
      </w:r>
      <w:r>
        <w:t xml:space="preserve">- Following regulatory changes</w:t>
      </w:r>
      <w:r>
        <w:t xml:space="preserve"> </w:t>
      </w:r>
      <w:r>
        <w:t xml:space="preserve">- Following technology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December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[To be completed]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All employees and contractors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2025-12-02T21:00:30Z</dcterms:created>
  <dcterms:modified xsi:type="dcterms:W3CDTF">2025-12-02T21:00:30Z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