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nformation-security-policy"/>
    <w:p>
      <w:pPr>
        <w:pStyle w:val="Heading1"/>
      </w:pPr>
      <w:r>
        <w:t xml:space="preserve">Information Security Policy</w:t>
      </w:r>
    </w:p>
    <w:p>
      <w:pPr>
        <w:pStyle w:val="FirstParagraph"/>
      </w:pPr>
      <w:r>
        <w:rPr>
          <w:b/>
          <w:bCs/>
        </w:rPr>
        <w:t xml:space="preserve">Version:</w:t>
      </w:r>
      <w:r>
        <w:t xml:space="preserve"> </w:t>
      </w:r>
      <w:r>
        <w:t xml:space="preserve">1.0</w:t>
      </w:r>
      <w:r>
        <w:br/>
      </w:r>
      <w:r>
        <w:rPr>
          <w:b/>
          <w:bCs/>
        </w:rPr>
        <w:t xml:space="preserve">Effective Date:</w:t>
      </w:r>
      <w:r>
        <w:t xml:space="preserve"> </w:t>
      </w:r>
      <w:r>
        <w:t xml:space="preserve">December 2025</w:t>
      </w:r>
      <w:r>
        <w:br/>
      </w:r>
      <w:r>
        <w:rPr>
          <w:b/>
          <w:bCs/>
        </w:rPr>
        <w:t xml:space="preserve">Owner:</w:t>
      </w:r>
      <w:r>
        <w:t xml:space="preserve"> </w:t>
      </w:r>
      <w:r>
        <w:t xml:space="preserve">EcoMetricx InfoSec Team (Andrei Ionete - andrei@ecometricx.com)</w:t>
      </w:r>
      <w:r>
        <w:br/>
      </w:r>
      <w:r>
        <w:rPr>
          <w:b/>
          <w:bCs/>
        </w:rPr>
        <w:t xml:space="preserve">Review Cycle:</w:t>
      </w:r>
      <w:r>
        <w:t xml:space="preserve"> </w:t>
      </w:r>
      <w:r>
        <w:t xml:space="preserve">Annually or following major organizational or regulatory change</w:t>
      </w:r>
    </w:p>
    <w:bookmarkStart w:id="9" w:name="purpose"/>
    <w:p>
      <w:pPr>
        <w:pStyle w:val="Heading2"/>
      </w:pPr>
      <w:r>
        <w:t xml:space="preserve">1. Purpose</w:t>
      </w:r>
    </w:p>
    <w:p>
      <w:pPr>
        <w:pStyle w:val="FirstParagraph"/>
      </w:pPr>
      <w:r>
        <w:t xml:space="preserve">This policy establishes the foundation for EcoMetricx’s information security program, defining the organization’s commitment to protecting information assets and ensuring the confidentiality, integrity, and availability of information systems. This policy supports all SOC 2 Trust Service Criteria.</w:t>
      </w:r>
    </w:p>
    <w:bookmarkEnd w:id="9"/>
    <w:bookmarkStart w:id="10" w:name="scope"/>
    <w:p>
      <w:pPr>
        <w:pStyle w:val="Heading2"/>
      </w:pPr>
      <w:r>
        <w:t xml:space="preserve">2. Scope</w:t>
      </w:r>
    </w:p>
    <w:p>
      <w:pPr>
        <w:pStyle w:val="FirstParagraph"/>
      </w:pPr>
      <w:r>
        <w:t xml:space="preserve">This policy applies to:</w:t>
      </w:r>
      <w:r>
        <w:t xml:space="preserve"> </w:t>
      </w:r>
      <w:r>
        <w:t xml:space="preserve">- All employees, contractors, vendors, and third parties</w:t>
      </w:r>
      <w:r>
        <w:t xml:space="preserve"> </w:t>
      </w:r>
      <w:r>
        <w:t xml:space="preserve">- All information systems, networks, applications, and data</w:t>
      </w:r>
      <w:r>
        <w:t xml:space="preserve"> </w:t>
      </w:r>
      <w:r>
        <w:t xml:space="preserve">- All physical and cloud infrastructure</w:t>
      </w:r>
      <w:r>
        <w:t xml:space="preserve"> </w:t>
      </w:r>
      <w:r>
        <w:t xml:space="preserve">- All business operations</w:t>
      </w:r>
    </w:p>
    <w:bookmarkEnd w:id="10"/>
    <w:bookmarkStart w:id="11" w:name="information-security-objectives"/>
    <w:p>
      <w:pPr>
        <w:pStyle w:val="Heading2"/>
      </w:pPr>
      <w:r>
        <w:t xml:space="preserve">3. Information Security Objectives</w:t>
      </w:r>
    </w:p>
    <w:p>
      <w:pPr>
        <w:pStyle w:val="FirstParagraph"/>
      </w:pPr>
      <w:r>
        <w:t xml:space="preserve">EcoMetricx is committed to:</w:t>
      </w:r>
      <w:r>
        <w:t xml:space="preserve"> </w:t>
      </w:r>
      <w:r>
        <w:t xml:space="preserve">- Protecting information assets from unauthorized access, use, disclosure, modification, or destruction</w:t>
      </w:r>
      <w:r>
        <w:t xml:space="preserve"> </w:t>
      </w:r>
      <w:r>
        <w:t xml:space="preserve">- Ensuring the confidentiality, integrity, and availability of information</w:t>
      </w:r>
      <w:r>
        <w:t xml:space="preserve"> </w:t>
      </w:r>
      <w:r>
        <w:t xml:space="preserve">- Complying with applicable laws, regulations, and contractual obligations</w:t>
      </w:r>
      <w:r>
        <w:t xml:space="preserve"> </w:t>
      </w:r>
      <w:r>
        <w:t xml:space="preserve">- Maintaining customer and stakeholder trust</w:t>
      </w:r>
      <w:r>
        <w:t xml:space="preserve"> </w:t>
      </w:r>
      <w:r>
        <w:t xml:space="preserve">- Continuously improving security posture</w:t>
      </w:r>
    </w:p>
    <w:bookmarkEnd w:id="11"/>
    <w:bookmarkStart w:id="15" w:name="information-security-principles"/>
    <w:p>
      <w:pPr>
        <w:pStyle w:val="Heading2"/>
      </w:pPr>
      <w:r>
        <w:t xml:space="preserve">4. Information Security Principles</w:t>
      </w:r>
    </w:p>
    <w:bookmarkStart w:id="12" w:name="confidentiality"/>
    <w:p>
      <w:pPr>
        <w:pStyle w:val="Heading3"/>
      </w:pPr>
      <w:r>
        <w:t xml:space="preserve">4.1 Confidentiality</w:t>
      </w:r>
    </w:p>
    <w:p>
      <w:pPr>
        <w:pStyle w:val="Compact"/>
        <w:numPr>
          <w:ilvl w:val="0"/>
          <w:numId w:val="1001"/>
        </w:numPr>
      </w:pPr>
      <w:r>
        <w:t xml:space="preserve">Information accessible only to authorized individuals</w:t>
      </w:r>
    </w:p>
    <w:p>
      <w:pPr>
        <w:pStyle w:val="Compact"/>
        <w:numPr>
          <w:ilvl w:val="0"/>
          <w:numId w:val="1001"/>
        </w:numPr>
      </w:pPr>
      <w:r>
        <w:t xml:space="preserve">Encryption for sensitive data in transit and at rest</w:t>
      </w:r>
    </w:p>
    <w:p>
      <w:pPr>
        <w:pStyle w:val="Compact"/>
        <w:numPr>
          <w:ilvl w:val="0"/>
          <w:numId w:val="1001"/>
        </w:numPr>
      </w:pPr>
      <w:r>
        <w:t xml:space="preserve">Access controls based on need-to-know</w:t>
      </w:r>
    </w:p>
    <w:p>
      <w:pPr>
        <w:pStyle w:val="Compact"/>
        <w:numPr>
          <w:ilvl w:val="0"/>
          <w:numId w:val="1001"/>
        </w:numPr>
      </w:pPr>
      <w:r>
        <w:t xml:space="preserve">Data classification and handling per Data Classification Policy</w:t>
      </w:r>
    </w:p>
    <w:bookmarkEnd w:id="12"/>
    <w:bookmarkStart w:id="13" w:name="integrity"/>
    <w:p>
      <w:pPr>
        <w:pStyle w:val="Heading3"/>
      </w:pPr>
      <w:r>
        <w:t xml:space="preserve">4.2 Integrity</w:t>
      </w:r>
    </w:p>
    <w:p>
      <w:pPr>
        <w:pStyle w:val="Compact"/>
        <w:numPr>
          <w:ilvl w:val="0"/>
          <w:numId w:val="1002"/>
        </w:numPr>
      </w:pPr>
      <w:r>
        <w:t xml:space="preserve">Information accurate and complete</w:t>
      </w:r>
    </w:p>
    <w:p>
      <w:pPr>
        <w:pStyle w:val="Compact"/>
        <w:numPr>
          <w:ilvl w:val="0"/>
          <w:numId w:val="1002"/>
        </w:numPr>
      </w:pPr>
      <w:r>
        <w:t xml:space="preserve">Protection against unauthorized modification</w:t>
      </w:r>
    </w:p>
    <w:p>
      <w:pPr>
        <w:pStyle w:val="Compact"/>
        <w:numPr>
          <w:ilvl w:val="0"/>
          <w:numId w:val="1002"/>
        </w:numPr>
      </w:pPr>
      <w:r>
        <w:t xml:space="preserve">Change management controls</w:t>
      </w:r>
    </w:p>
    <w:p>
      <w:pPr>
        <w:pStyle w:val="Compact"/>
        <w:numPr>
          <w:ilvl w:val="0"/>
          <w:numId w:val="1002"/>
        </w:numPr>
      </w:pPr>
      <w:r>
        <w:t xml:space="preserve">Audit trails for all changes</w:t>
      </w:r>
    </w:p>
    <w:bookmarkEnd w:id="13"/>
    <w:bookmarkStart w:id="14" w:name="availability"/>
    <w:p>
      <w:pPr>
        <w:pStyle w:val="Heading3"/>
      </w:pPr>
      <w:r>
        <w:t xml:space="preserve">4.3 Availability</w:t>
      </w:r>
    </w:p>
    <w:p>
      <w:pPr>
        <w:pStyle w:val="Compact"/>
        <w:numPr>
          <w:ilvl w:val="0"/>
          <w:numId w:val="1003"/>
        </w:numPr>
      </w:pPr>
      <w:r>
        <w:t xml:space="preserve">Systems available to authorized users when needed</w:t>
      </w:r>
    </w:p>
    <w:p>
      <w:pPr>
        <w:pStyle w:val="Compact"/>
        <w:numPr>
          <w:ilvl w:val="0"/>
          <w:numId w:val="1003"/>
        </w:numPr>
      </w:pPr>
      <w:r>
        <w:t xml:space="preserve">Business continuity and disaster recovery plans</w:t>
      </w:r>
    </w:p>
    <w:p>
      <w:pPr>
        <w:pStyle w:val="Compact"/>
        <w:numPr>
          <w:ilvl w:val="0"/>
          <w:numId w:val="1003"/>
        </w:numPr>
      </w:pPr>
      <w:r>
        <w:t xml:space="preserve">Redundancy and backup systems</w:t>
      </w:r>
    </w:p>
    <w:p>
      <w:pPr>
        <w:pStyle w:val="Compact"/>
        <w:numPr>
          <w:ilvl w:val="0"/>
          <w:numId w:val="1003"/>
        </w:numPr>
      </w:pPr>
      <w:r>
        <w:t xml:space="preserve">Monitoring and incident response</w:t>
      </w:r>
    </w:p>
    <w:bookmarkEnd w:id="14"/>
    <w:bookmarkEnd w:id="15"/>
    <w:bookmarkStart w:id="19" w:name="security-governance"/>
    <w:p>
      <w:pPr>
        <w:pStyle w:val="Heading2"/>
      </w:pPr>
      <w:r>
        <w:t xml:space="preserve">5. Security Governance</w:t>
      </w:r>
    </w:p>
    <w:bookmarkStart w:id="16" w:name="information-security-program"/>
    <w:p>
      <w:pPr>
        <w:pStyle w:val="Heading3"/>
      </w:pPr>
      <w:r>
        <w:t xml:space="preserve">5.1 Information Security Program</w:t>
      </w:r>
    </w:p>
    <w:p>
      <w:pPr>
        <w:pStyle w:val="Compact"/>
        <w:numPr>
          <w:ilvl w:val="0"/>
          <w:numId w:val="1004"/>
        </w:numPr>
      </w:pPr>
      <w:r>
        <w:t xml:space="preserve">Comprehensive information security program established</w:t>
      </w:r>
    </w:p>
    <w:p>
      <w:pPr>
        <w:pStyle w:val="Compact"/>
        <w:numPr>
          <w:ilvl w:val="0"/>
          <w:numId w:val="1004"/>
        </w:numPr>
      </w:pPr>
      <w:r>
        <w:t xml:space="preserve">Regular risk assessments</w:t>
      </w:r>
    </w:p>
    <w:p>
      <w:pPr>
        <w:pStyle w:val="Compact"/>
        <w:numPr>
          <w:ilvl w:val="0"/>
          <w:numId w:val="1004"/>
        </w:numPr>
      </w:pPr>
      <w:r>
        <w:t xml:space="preserve">Security controls implemented and monitored</w:t>
      </w:r>
    </w:p>
    <w:p>
      <w:pPr>
        <w:pStyle w:val="Compact"/>
        <w:numPr>
          <w:ilvl w:val="0"/>
          <w:numId w:val="1004"/>
        </w:numPr>
      </w:pPr>
      <w:r>
        <w:t xml:space="preserve">Continuous improvement process</w:t>
      </w:r>
    </w:p>
    <w:bookmarkEnd w:id="16"/>
    <w:bookmarkStart w:id="17" w:name="roles-and-responsibilities"/>
    <w:p>
      <w:pPr>
        <w:pStyle w:val="Heading3"/>
      </w:pPr>
      <w:r>
        <w:t xml:space="preserve">5.2 Roles and Responsibilities</w:t>
      </w:r>
    </w:p>
    <w:p>
      <w:pPr>
        <w:pStyle w:val="FirstParagraph"/>
      </w:pPr>
      <w:r>
        <w:rPr>
          <w:b/>
          <w:bCs/>
        </w:rPr>
        <w:t xml:space="preserve">Chief Information Security Officer (CISO) / InfoSec Team Lead:</w:t>
      </w:r>
      <w:r>
        <w:t xml:space="preserve"> </w:t>
      </w:r>
      <w:r>
        <w:t xml:space="preserve">- Andrei Ionete (andrei@ecometricx.com)</w:t>
      </w:r>
      <w:r>
        <w:t xml:space="preserve"> </w:t>
      </w:r>
      <w:r>
        <w:t xml:space="preserve">- Overall responsibility for information security</w:t>
      </w:r>
      <w:r>
        <w:t xml:space="preserve"> </w:t>
      </w:r>
      <w:r>
        <w:t xml:space="preserve">- Security program management</w:t>
      </w:r>
      <w:r>
        <w:t xml:space="preserve"> </w:t>
      </w:r>
      <w:r>
        <w:t xml:space="preserve">- Risk management oversight</w:t>
      </w:r>
    </w:p>
    <w:p>
      <w:pPr>
        <w:pStyle w:val="BodyText"/>
      </w:pPr>
      <w:r>
        <w:rPr>
          <w:b/>
          <w:bCs/>
        </w:rPr>
        <w:t xml:space="preserve">Information Security Team:</w:t>
      </w:r>
      <w:r>
        <w:t xml:space="preserve"> </w:t>
      </w:r>
      <w:r>
        <w:t xml:space="preserve">- Security operations</w:t>
      </w:r>
      <w:r>
        <w:t xml:space="preserve"> </w:t>
      </w:r>
      <w:r>
        <w:t xml:space="preserve">- Incident response</w:t>
      </w:r>
      <w:r>
        <w:t xml:space="preserve"> </w:t>
      </w:r>
      <w:r>
        <w:t xml:space="preserve">- Security monitoring</w:t>
      </w:r>
      <w:r>
        <w:t xml:space="preserve"> </w:t>
      </w:r>
      <w:r>
        <w:t xml:space="preserve">- Policy implementation</w:t>
      </w:r>
    </w:p>
    <w:p>
      <w:pPr>
        <w:pStyle w:val="BodyText"/>
      </w:pPr>
      <w:r>
        <w:rPr>
          <w:b/>
          <w:bCs/>
        </w:rPr>
        <w:t xml:space="preserve">Data Owners:</w:t>
      </w:r>
      <w:r>
        <w:t xml:space="preserve"> </w:t>
      </w:r>
      <w:r>
        <w:t xml:space="preserve">- Data classification and protection</w:t>
      </w:r>
      <w:r>
        <w:t xml:space="preserve"> </w:t>
      </w:r>
      <w:r>
        <w:t xml:space="preserve">- Access approval</w:t>
      </w:r>
      <w:r>
        <w:t xml:space="preserve"> </w:t>
      </w:r>
      <w:r>
        <w:t xml:space="preserve">- Data retention and disposal</w:t>
      </w:r>
    </w:p>
    <w:p>
      <w:pPr>
        <w:pStyle w:val="BodyText"/>
      </w:pPr>
      <w:r>
        <w:rPr>
          <w:b/>
          <w:bCs/>
        </w:rPr>
        <w:t xml:space="preserve">All Employees:</w:t>
      </w:r>
      <w:r>
        <w:t xml:space="preserve"> </w:t>
      </w:r>
      <w:r>
        <w:t xml:space="preserve">- Comply with security policies</w:t>
      </w:r>
      <w:r>
        <w:t xml:space="preserve"> </w:t>
      </w:r>
      <w:r>
        <w:t xml:space="preserve">- Report security incidents</w:t>
      </w:r>
      <w:r>
        <w:t xml:space="preserve"> </w:t>
      </w:r>
      <w:r>
        <w:t xml:space="preserve">- Complete security training</w:t>
      </w:r>
    </w:p>
    <w:bookmarkEnd w:id="17"/>
    <w:bookmarkStart w:id="18" w:name="risk-management"/>
    <w:p>
      <w:pPr>
        <w:pStyle w:val="Heading3"/>
      </w:pPr>
      <w:r>
        <w:t xml:space="preserve">5.3 Risk Management</w:t>
      </w:r>
    </w:p>
    <w:p>
      <w:pPr>
        <w:pStyle w:val="Compact"/>
        <w:numPr>
          <w:ilvl w:val="0"/>
          <w:numId w:val="1005"/>
        </w:numPr>
      </w:pPr>
      <w:r>
        <w:t xml:space="preserve">Regular risk assessments</w:t>
      </w:r>
    </w:p>
    <w:p>
      <w:pPr>
        <w:pStyle w:val="Compact"/>
        <w:numPr>
          <w:ilvl w:val="0"/>
          <w:numId w:val="1005"/>
        </w:numPr>
      </w:pPr>
      <w:r>
        <w:t xml:space="preserve">Risk treatment plans</w:t>
      </w:r>
    </w:p>
    <w:p>
      <w:pPr>
        <w:pStyle w:val="Compact"/>
        <w:numPr>
          <w:ilvl w:val="0"/>
          <w:numId w:val="1005"/>
        </w:numPr>
      </w:pPr>
      <w:r>
        <w:t xml:space="preserve">Risk monitoring and review</w:t>
      </w:r>
    </w:p>
    <w:p>
      <w:pPr>
        <w:pStyle w:val="Compact"/>
        <w:numPr>
          <w:ilvl w:val="0"/>
          <w:numId w:val="1005"/>
        </w:numPr>
      </w:pPr>
      <w:r>
        <w:t xml:space="preserve">Risk communication to stakeholders</w:t>
      </w:r>
    </w:p>
    <w:bookmarkEnd w:id="18"/>
    <w:bookmarkEnd w:id="19"/>
    <w:bookmarkStart w:id="23" w:name="security-controls"/>
    <w:p>
      <w:pPr>
        <w:pStyle w:val="Heading2"/>
      </w:pPr>
      <w:r>
        <w:t xml:space="preserve">6. Security Controls</w:t>
      </w:r>
    </w:p>
    <w:bookmarkStart w:id="20" w:name="technical-controls"/>
    <w:p>
      <w:pPr>
        <w:pStyle w:val="Heading3"/>
      </w:pPr>
      <w:r>
        <w:t xml:space="preserve">6.1 Technical Controls</w:t>
      </w:r>
    </w:p>
    <w:p>
      <w:pPr>
        <w:pStyle w:val="Compact"/>
        <w:numPr>
          <w:ilvl w:val="0"/>
          <w:numId w:val="1006"/>
        </w:numPr>
      </w:pPr>
      <w:r>
        <w:t xml:space="preserve">Firewalls and network security</w:t>
      </w:r>
    </w:p>
    <w:p>
      <w:pPr>
        <w:pStyle w:val="Compact"/>
        <w:numPr>
          <w:ilvl w:val="0"/>
          <w:numId w:val="1006"/>
        </w:numPr>
      </w:pPr>
      <w:r>
        <w:t xml:space="preserve">Intrusion detection and prevention</w:t>
      </w:r>
    </w:p>
    <w:p>
      <w:pPr>
        <w:pStyle w:val="Compact"/>
        <w:numPr>
          <w:ilvl w:val="0"/>
          <w:numId w:val="1006"/>
        </w:numPr>
      </w:pPr>
      <w:r>
        <w:t xml:space="preserve">Antivirus and anti-malware</w:t>
      </w:r>
    </w:p>
    <w:p>
      <w:pPr>
        <w:pStyle w:val="Compact"/>
        <w:numPr>
          <w:ilvl w:val="0"/>
          <w:numId w:val="1006"/>
        </w:numPr>
      </w:pPr>
      <w:r>
        <w:t xml:space="preserve">Encryption (at rest and in transit)</w:t>
      </w:r>
    </w:p>
    <w:p>
      <w:pPr>
        <w:pStyle w:val="Compact"/>
        <w:numPr>
          <w:ilvl w:val="0"/>
          <w:numId w:val="1006"/>
        </w:numPr>
      </w:pPr>
      <w:r>
        <w:t xml:space="preserve">Access controls and authentication</w:t>
      </w:r>
    </w:p>
    <w:p>
      <w:pPr>
        <w:pStyle w:val="Compact"/>
        <w:numPr>
          <w:ilvl w:val="0"/>
          <w:numId w:val="1006"/>
        </w:numPr>
      </w:pPr>
      <w:r>
        <w:t xml:space="preserve">Security monitoring and logging</w:t>
      </w:r>
    </w:p>
    <w:p>
      <w:pPr>
        <w:pStyle w:val="Compact"/>
        <w:numPr>
          <w:ilvl w:val="0"/>
          <w:numId w:val="1006"/>
        </w:numPr>
      </w:pPr>
      <w:r>
        <w:t xml:space="preserve">Vulnerability management</w:t>
      </w:r>
    </w:p>
    <w:p>
      <w:pPr>
        <w:pStyle w:val="Compact"/>
        <w:numPr>
          <w:ilvl w:val="0"/>
          <w:numId w:val="1006"/>
        </w:numPr>
      </w:pPr>
      <w:r>
        <w:t xml:space="preserve">Patch management</w:t>
      </w:r>
    </w:p>
    <w:bookmarkEnd w:id="20"/>
    <w:bookmarkStart w:id="21" w:name="administrative-controls"/>
    <w:p>
      <w:pPr>
        <w:pStyle w:val="Heading3"/>
      </w:pPr>
      <w:r>
        <w:t xml:space="preserve">6.2 Administrative Controls</w:t>
      </w:r>
    </w:p>
    <w:p>
      <w:pPr>
        <w:pStyle w:val="Compact"/>
        <w:numPr>
          <w:ilvl w:val="0"/>
          <w:numId w:val="1007"/>
        </w:numPr>
      </w:pPr>
      <w:r>
        <w:t xml:space="preserve">Security policies and procedures</w:t>
      </w:r>
    </w:p>
    <w:p>
      <w:pPr>
        <w:pStyle w:val="Compact"/>
        <w:numPr>
          <w:ilvl w:val="0"/>
          <w:numId w:val="1007"/>
        </w:numPr>
      </w:pPr>
      <w:r>
        <w:t xml:space="preserve">Security awareness training</w:t>
      </w:r>
    </w:p>
    <w:p>
      <w:pPr>
        <w:pStyle w:val="Compact"/>
        <w:numPr>
          <w:ilvl w:val="0"/>
          <w:numId w:val="1007"/>
        </w:numPr>
      </w:pPr>
      <w:r>
        <w:t xml:space="preserve">Access management</w:t>
      </w:r>
    </w:p>
    <w:p>
      <w:pPr>
        <w:pStyle w:val="Compact"/>
        <w:numPr>
          <w:ilvl w:val="0"/>
          <w:numId w:val="1007"/>
        </w:numPr>
      </w:pPr>
      <w:r>
        <w:t xml:space="preserve">Change management</w:t>
      </w:r>
    </w:p>
    <w:p>
      <w:pPr>
        <w:pStyle w:val="Compact"/>
        <w:numPr>
          <w:ilvl w:val="0"/>
          <w:numId w:val="1007"/>
        </w:numPr>
      </w:pPr>
      <w:r>
        <w:t xml:space="preserve">Incident response</w:t>
      </w:r>
    </w:p>
    <w:p>
      <w:pPr>
        <w:pStyle w:val="Compact"/>
        <w:numPr>
          <w:ilvl w:val="0"/>
          <w:numId w:val="1007"/>
        </w:numPr>
      </w:pPr>
      <w:r>
        <w:t xml:space="preserve">Business continuity planning</w:t>
      </w:r>
    </w:p>
    <w:bookmarkEnd w:id="21"/>
    <w:bookmarkStart w:id="22" w:name="physical-controls"/>
    <w:p>
      <w:pPr>
        <w:pStyle w:val="Heading3"/>
      </w:pPr>
      <w:r>
        <w:t xml:space="preserve">6.3 Physical Controls</w:t>
      </w:r>
    </w:p>
    <w:p>
      <w:pPr>
        <w:pStyle w:val="Compact"/>
        <w:numPr>
          <w:ilvl w:val="0"/>
          <w:numId w:val="1008"/>
        </w:numPr>
      </w:pPr>
      <w:r>
        <w:t xml:space="preserve">Physical access controls</w:t>
      </w:r>
    </w:p>
    <w:p>
      <w:pPr>
        <w:pStyle w:val="Compact"/>
        <w:numPr>
          <w:ilvl w:val="0"/>
          <w:numId w:val="1008"/>
        </w:numPr>
      </w:pPr>
      <w:r>
        <w:t xml:space="preserve">Secure facilities</w:t>
      </w:r>
    </w:p>
    <w:p>
      <w:pPr>
        <w:pStyle w:val="Compact"/>
        <w:numPr>
          <w:ilvl w:val="0"/>
          <w:numId w:val="1008"/>
        </w:numPr>
      </w:pPr>
      <w:r>
        <w:t xml:space="preserve">Equipment security</w:t>
      </w:r>
    </w:p>
    <w:p>
      <w:pPr>
        <w:pStyle w:val="Compact"/>
        <w:numPr>
          <w:ilvl w:val="0"/>
          <w:numId w:val="1008"/>
        </w:numPr>
      </w:pPr>
      <w:r>
        <w:t xml:space="preserve">Environmental controls</w:t>
      </w:r>
    </w:p>
    <w:bookmarkEnd w:id="22"/>
    <w:bookmarkEnd w:id="23"/>
    <w:bookmarkStart w:id="28" w:name="security-requirements"/>
    <w:p>
      <w:pPr>
        <w:pStyle w:val="Heading2"/>
      </w:pPr>
      <w:r>
        <w:t xml:space="preserve">7. Security Requirements</w:t>
      </w:r>
    </w:p>
    <w:bookmarkStart w:id="24" w:name="system-security"/>
    <w:p>
      <w:pPr>
        <w:pStyle w:val="Heading3"/>
      </w:pPr>
      <w:r>
        <w:t xml:space="preserve">7.1 System Security</w:t>
      </w:r>
    </w:p>
    <w:p>
      <w:pPr>
        <w:pStyle w:val="Compact"/>
        <w:numPr>
          <w:ilvl w:val="0"/>
          <w:numId w:val="1009"/>
        </w:numPr>
      </w:pPr>
      <w:r>
        <w:t xml:space="preserve">Systems hardened and configured securely</w:t>
      </w:r>
    </w:p>
    <w:p>
      <w:pPr>
        <w:pStyle w:val="Compact"/>
        <w:numPr>
          <w:ilvl w:val="0"/>
          <w:numId w:val="1009"/>
        </w:numPr>
      </w:pPr>
      <w:r>
        <w:t xml:space="preserve">Regular security updates and patches</w:t>
      </w:r>
    </w:p>
    <w:p>
      <w:pPr>
        <w:pStyle w:val="Compact"/>
        <w:numPr>
          <w:ilvl w:val="0"/>
          <w:numId w:val="1009"/>
        </w:numPr>
      </w:pPr>
      <w:r>
        <w:t xml:space="preserve">Vulnerability scanning and remediation</w:t>
      </w:r>
    </w:p>
    <w:p>
      <w:pPr>
        <w:pStyle w:val="Compact"/>
        <w:numPr>
          <w:ilvl w:val="0"/>
          <w:numId w:val="1009"/>
        </w:numPr>
      </w:pPr>
      <w:r>
        <w:t xml:space="preserve">Secure configuration management</w:t>
      </w:r>
    </w:p>
    <w:p>
      <w:pPr>
        <w:pStyle w:val="Compact"/>
        <w:numPr>
          <w:ilvl w:val="0"/>
          <w:numId w:val="1009"/>
        </w:numPr>
      </w:pPr>
      <w:r>
        <w:t xml:space="preserve">Security testing and assessment</w:t>
      </w:r>
    </w:p>
    <w:bookmarkEnd w:id="24"/>
    <w:bookmarkStart w:id="25" w:name="network-security"/>
    <w:p>
      <w:pPr>
        <w:pStyle w:val="Heading3"/>
      </w:pPr>
      <w:r>
        <w:t xml:space="preserve">7.2 Network Security</w:t>
      </w:r>
    </w:p>
    <w:p>
      <w:pPr>
        <w:pStyle w:val="Compact"/>
        <w:numPr>
          <w:ilvl w:val="0"/>
          <w:numId w:val="1010"/>
        </w:numPr>
      </w:pPr>
      <w:r>
        <w:t xml:space="preserve">Network segmentation</w:t>
      </w:r>
    </w:p>
    <w:p>
      <w:pPr>
        <w:pStyle w:val="Compact"/>
        <w:numPr>
          <w:ilvl w:val="0"/>
          <w:numId w:val="1010"/>
        </w:numPr>
      </w:pPr>
      <w:r>
        <w:t xml:space="preserve">Firewall rules and access controls</w:t>
      </w:r>
    </w:p>
    <w:p>
      <w:pPr>
        <w:pStyle w:val="Compact"/>
        <w:numPr>
          <w:ilvl w:val="0"/>
          <w:numId w:val="1010"/>
        </w:numPr>
      </w:pPr>
      <w:r>
        <w:t xml:space="preserve">Intrusion detection and prevention</w:t>
      </w:r>
    </w:p>
    <w:p>
      <w:pPr>
        <w:pStyle w:val="Compact"/>
        <w:numPr>
          <w:ilvl w:val="0"/>
          <w:numId w:val="1010"/>
        </w:numPr>
      </w:pPr>
      <w:r>
        <w:t xml:space="preserve">Network monitoring</w:t>
      </w:r>
    </w:p>
    <w:p>
      <w:pPr>
        <w:pStyle w:val="Compact"/>
        <w:numPr>
          <w:ilvl w:val="0"/>
          <w:numId w:val="1010"/>
        </w:numPr>
      </w:pPr>
      <w:r>
        <w:t xml:space="preserve">Secure remote access (VPN)</w:t>
      </w:r>
    </w:p>
    <w:bookmarkEnd w:id="25"/>
    <w:bookmarkStart w:id="26" w:name="application-security"/>
    <w:p>
      <w:pPr>
        <w:pStyle w:val="Heading3"/>
      </w:pPr>
      <w:r>
        <w:t xml:space="preserve">7.3 Application Security</w:t>
      </w:r>
    </w:p>
    <w:p>
      <w:pPr>
        <w:pStyle w:val="Compact"/>
        <w:numPr>
          <w:ilvl w:val="0"/>
          <w:numId w:val="1011"/>
        </w:numPr>
      </w:pPr>
      <w:r>
        <w:t xml:space="preserve">Secure development lifecycle</w:t>
      </w:r>
    </w:p>
    <w:p>
      <w:pPr>
        <w:pStyle w:val="Compact"/>
        <w:numPr>
          <w:ilvl w:val="0"/>
          <w:numId w:val="1011"/>
        </w:numPr>
      </w:pPr>
      <w:r>
        <w:t xml:space="preserve">Security testing</w:t>
      </w:r>
    </w:p>
    <w:p>
      <w:pPr>
        <w:pStyle w:val="Compact"/>
        <w:numPr>
          <w:ilvl w:val="0"/>
          <w:numId w:val="1011"/>
        </w:numPr>
      </w:pPr>
      <w:r>
        <w:t xml:space="preserve">Input validation</w:t>
      </w:r>
    </w:p>
    <w:p>
      <w:pPr>
        <w:pStyle w:val="Compact"/>
        <w:numPr>
          <w:ilvl w:val="0"/>
          <w:numId w:val="1011"/>
        </w:numPr>
      </w:pPr>
      <w:r>
        <w:t xml:space="preserve">Authentication and authorization</w:t>
      </w:r>
    </w:p>
    <w:p>
      <w:pPr>
        <w:pStyle w:val="Compact"/>
        <w:numPr>
          <w:ilvl w:val="0"/>
          <w:numId w:val="1011"/>
        </w:numPr>
      </w:pPr>
      <w:r>
        <w:t xml:space="preserve">Secure coding practices</w:t>
      </w:r>
    </w:p>
    <w:bookmarkEnd w:id="26"/>
    <w:bookmarkStart w:id="27" w:name="data-security"/>
    <w:p>
      <w:pPr>
        <w:pStyle w:val="Heading3"/>
      </w:pPr>
      <w:r>
        <w:t xml:space="preserve">7.4 Data Security</w:t>
      </w:r>
    </w:p>
    <w:p>
      <w:pPr>
        <w:pStyle w:val="Compact"/>
        <w:numPr>
          <w:ilvl w:val="0"/>
          <w:numId w:val="1012"/>
        </w:numPr>
      </w:pPr>
      <w:r>
        <w:t xml:space="preserve">Data classification and handling</w:t>
      </w:r>
    </w:p>
    <w:p>
      <w:pPr>
        <w:pStyle w:val="Compact"/>
        <w:numPr>
          <w:ilvl w:val="0"/>
          <w:numId w:val="1012"/>
        </w:numPr>
      </w:pPr>
      <w:r>
        <w:t xml:space="preserve">Encryption for sensitive data</w:t>
      </w:r>
    </w:p>
    <w:p>
      <w:pPr>
        <w:pStyle w:val="Compact"/>
        <w:numPr>
          <w:ilvl w:val="0"/>
          <w:numId w:val="1012"/>
        </w:numPr>
      </w:pPr>
      <w:r>
        <w:t xml:space="preserve">Access controls</w:t>
      </w:r>
    </w:p>
    <w:p>
      <w:pPr>
        <w:pStyle w:val="Compact"/>
        <w:numPr>
          <w:ilvl w:val="0"/>
          <w:numId w:val="1012"/>
        </w:numPr>
      </w:pPr>
      <w:r>
        <w:t xml:space="preserve">Data backup and recovery</w:t>
      </w:r>
    </w:p>
    <w:p>
      <w:pPr>
        <w:pStyle w:val="Compact"/>
        <w:numPr>
          <w:ilvl w:val="0"/>
          <w:numId w:val="1012"/>
        </w:numPr>
      </w:pPr>
      <w:r>
        <w:t xml:space="preserve">Secure data disposal</w:t>
      </w:r>
    </w:p>
    <w:bookmarkEnd w:id="27"/>
    <w:bookmarkEnd w:id="28"/>
    <w:bookmarkStart w:id="32" w:name="security-operations"/>
    <w:p>
      <w:pPr>
        <w:pStyle w:val="Heading2"/>
      </w:pPr>
      <w:r>
        <w:t xml:space="preserve">8. Security Operations</w:t>
      </w:r>
    </w:p>
    <w:bookmarkStart w:id="29" w:name="security-monitoring"/>
    <w:p>
      <w:pPr>
        <w:pStyle w:val="Heading3"/>
      </w:pPr>
      <w:r>
        <w:t xml:space="preserve">8.1 Security Monitoring</w:t>
      </w:r>
    </w:p>
    <w:p>
      <w:pPr>
        <w:pStyle w:val="Compact"/>
        <w:numPr>
          <w:ilvl w:val="0"/>
          <w:numId w:val="1013"/>
        </w:numPr>
      </w:pPr>
      <w:r>
        <w:t xml:space="preserve">Continuous security monitoring</w:t>
      </w:r>
    </w:p>
    <w:p>
      <w:pPr>
        <w:pStyle w:val="Compact"/>
        <w:numPr>
          <w:ilvl w:val="0"/>
          <w:numId w:val="1013"/>
        </w:numPr>
      </w:pPr>
      <w:r>
        <w:t xml:space="preserve">Log aggregation and analysis</w:t>
      </w:r>
    </w:p>
    <w:p>
      <w:pPr>
        <w:pStyle w:val="Compact"/>
        <w:numPr>
          <w:ilvl w:val="0"/>
          <w:numId w:val="1013"/>
        </w:numPr>
      </w:pPr>
      <w:r>
        <w:t xml:space="preserve">Security event detection</w:t>
      </w:r>
    </w:p>
    <w:p>
      <w:pPr>
        <w:pStyle w:val="Compact"/>
        <w:numPr>
          <w:ilvl w:val="0"/>
          <w:numId w:val="1013"/>
        </w:numPr>
      </w:pPr>
      <w:r>
        <w:t xml:space="preserve">Threat intelligence</w:t>
      </w:r>
    </w:p>
    <w:p>
      <w:pPr>
        <w:pStyle w:val="Compact"/>
        <w:numPr>
          <w:ilvl w:val="0"/>
          <w:numId w:val="1013"/>
        </w:numPr>
      </w:pPr>
      <w:r>
        <w:t xml:space="preserve">Security metrics and reporting</w:t>
      </w:r>
    </w:p>
    <w:bookmarkEnd w:id="29"/>
    <w:bookmarkStart w:id="30" w:name="incident-response"/>
    <w:p>
      <w:pPr>
        <w:pStyle w:val="Heading3"/>
      </w:pPr>
      <w:r>
        <w:t xml:space="preserve">8.2 Incident Response</w:t>
      </w:r>
    </w:p>
    <w:p>
      <w:pPr>
        <w:pStyle w:val="Compact"/>
        <w:numPr>
          <w:ilvl w:val="0"/>
          <w:numId w:val="1014"/>
        </w:numPr>
      </w:pPr>
      <w:r>
        <w:t xml:space="preserve">Incident detection and response procedures</w:t>
      </w:r>
    </w:p>
    <w:p>
      <w:pPr>
        <w:pStyle w:val="Compact"/>
        <w:numPr>
          <w:ilvl w:val="0"/>
          <w:numId w:val="1014"/>
        </w:numPr>
      </w:pPr>
      <w:r>
        <w:t xml:space="preserve">Incident response team</w:t>
      </w:r>
    </w:p>
    <w:p>
      <w:pPr>
        <w:pStyle w:val="Compact"/>
        <w:numPr>
          <w:ilvl w:val="0"/>
          <w:numId w:val="1014"/>
        </w:numPr>
      </w:pPr>
      <w:r>
        <w:t xml:space="preserve">Communication procedures</w:t>
      </w:r>
    </w:p>
    <w:p>
      <w:pPr>
        <w:pStyle w:val="Compact"/>
        <w:numPr>
          <w:ilvl w:val="0"/>
          <w:numId w:val="1014"/>
        </w:numPr>
      </w:pPr>
      <w:r>
        <w:t xml:space="preserve">Post-incident review and improvement</w:t>
      </w:r>
    </w:p>
    <w:bookmarkEnd w:id="30"/>
    <w:bookmarkStart w:id="31" w:name="vulnerability-management"/>
    <w:p>
      <w:pPr>
        <w:pStyle w:val="Heading3"/>
      </w:pPr>
      <w:r>
        <w:t xml:space="preserve">8.3 Vulnerability Management</w:t>
      </w:r>
    </w:p>
    <w:p>
      <w:pPr>
        <w:pStyle w:val="Compact"/>
        <w:numPr>
          <w:ilvl w:val="0"/>
          <w:numId w:val="1015"/>
        </w:numPr>
      </w:pPr>
      <w:r>
        <w:t xml:space="preserve">Regular vulnerability scanning</w:t>
      </w:r>
    </w:p>
    <w:p>
      <w:pPr>
        <w:pStyle w:val="Compact"/>
        <w:numPr>
          <w:ilvl w:val="0"/>
          <w:numId w:val="1015"/>
        </w:numPr>
      </w:pPr>
      <w:r>
        <w:t xml:space="preserve">Vulnerability assessment</w:t>
      </w:r>
    </w:p>
    <w:p>
      <w:pPr>
        <w:pStyle w:val="Compact"/>
        <w:numPr>
          <w:ilvl w:val="0"/>
          <w:numId w:val="1015"/>
        </w:numPr>
      </w:pPr>
      <w:r>
        <w:t xml:space="preserve">Patch management</w:t>
      </w:r>
    </w:p>
    <w:p>
      <w:pPr>
        <w:pStyle w:val="Compact"/>
        <w:numPr>
          <w:ilvl w:val="0"/>
          <w:numId w:val="1015"/>
        </w:numPr>
      </w:pPr>
      <w:r>
        <w:t xml:space="preserve">Remediation tracking</w:t>
      </w:r>
    </w:p>
    <w:p>
      <w:pPr>
        <w:pStyle w:val="Compact"/>
        <w:numPr>
          <w:ilvl w:val="0"/>
          <w:numId w:val="1015"/>
        </w:numPr>
      </w:pPr>
      <w:r>
        <w:t xml:space="preserve">Risk-based prioritization</w:t>
      </w:r>
    </w:p>
    <w:bookmarkEnd w:id="31"/>
    <w:bookmarkEnd w:id="32"/>
    <w:bookmarkStart w:id="36" w:name="compliance-and-legal-requirements"/>
    <w:p>
      <w:pPr>
        <w:pStyle w:val="Heading2"/>
      </w:pPr>
      <w:r>
        <w:t xml:space="preserve">9. Compliance and Legal Requirements</w:t>
      </w:r>
    </w:p>
    <w:bookmarkStart w:id="33" w:name="regulatory-compliance"/>
    <w:p>
      <w:pPr>
        <w:pStyle w:val="Heading3"/>
      </w:pPr>
      <w:r>
        <w:t xml:space="preserve">9.1 Regulatory Compliance</w:t>
      </w:r>
    </w:p>
    <w:p>
      <w:pPr>
        <w:pStyle w:val="Compact"/>
        <w:numPr>
          <w:ilvl w:val="0"/>
          <w:numId w:val="1016"/>
        </w:numPr>
      </w:pPr>
      <w:r>
        <w:t xml:space="preserve">SOC 2 Type II</w:t>
      </w:r>
    </w:p>
    <w:p>
      <w:pPr>
        <w:pStyle w:val="Compact"/>
        <w:numPr>
          <w:ilvl w:val="0"/>
          <w:numId w:val="1016"/>
        </w:numPr>
      </w:pPr>
      <w:r>
        <w:t xml:space="preserve">GDPR (where applicable)</w:t>
      </w:r>
    </w:p>
    <w:p>
      <w:pPr>
        <w:pStyle w:val="Compact"/>
        <w:numPr>
          <w:ilvl w:val="0"/>
          <w:numId w:val="1016"/>
        </w:numPr>
      </w:pPr>
      <w:r>
        <w:t xml:space="preserve">HIPAA (where applicable)</w:t>
      </w:r>
    </w:p>
    <w:p>
      <w:pPr>
        <w:pStyle w:val="Compact"/>
        <w:numPr>
          <w:ilvl w:val="0"/>
          <w:numId w:val="1016"/>
        </w:numPr>
      </w:pPr>
      <w:r>
        <w:t xml:space="preserve">PCI-DSS (where applicable)</w:t>
      </w:r>
    </w:p>
    <w:p>
      <w:pPr>
        <w:pStyle w:val="Compact"/>
        <w:numPr>
          <w:ilvl w:val="0"/>
          <w:numId w:val="1016"/>
        </w:numPr>
      </w:pPr>
      <w:r>
        <w:t xml:space="preserve">CCPA (where applicable)</w:t>
      </w:r>
    </w:p>
    <w:p>
      <w:pPr>
        <w:pStyle w:val="Compact"/>
        <w:numPr>
          <w:ilvl w:val="0"/>
          <w:numId w:val="1016"/>
        </w:numPr>
      </w:pPr>
      <w:r>
        <w:t xml:space="preserve">Other applicable regulations</w:t>
      </w:r>
    </w:p>
    <w:bookmarkEnd w:id="33"/>
    <w:bookmarkStart w:id="34" w:name="legal-requirements"/>
    <w:p>
      <w:pPr>
        <w:pStyle w:val="Heading3"/>
      </w:pPr>
      <w:r>
        <w:t xml:space="preserve">9.2 Legal Requirements</w:t>
      </w:r>
    </w:p>
    <w:p>
      <w:pPr>
        <w:pStyle w:val="Compact"/>
        <w:numPr>
          <w:ilvl w:val="0"/>
          <w:numId w:val="1017"/>
        </w:numPr>
      </w:pPr>
      <w:r>
        <w:t xml:space="preserve">Compliance with applicable laws</w:t>
      </w:r>
    </w:p>
    <w:p>
      <w:pPr>
        <w:pStyle w:val="Compact"/>
        <w:numPr>
          <w:ilvl w:val="0"/>
          <w:numId w:val="1017"/>
        </w:numPr>
      </w:pPr>
      <w:r>
        <w:t xml:space="preserve">Contractual obligations</w:t>
      </w:r>
    </w:p>
    <w:p>
      <w:pPr>
        <w:pStyle w:val="Compact"/>
        <w:numPr>
          <w:ilvl w:val="0"/>
          <w:numId w:val="1017"/>
        </w:numPr>
      </w:pPr>
      <w:r>
        <w:t xml:space="preserve">Data protection requirements</w:t>
      </w:r>
    </w:p>
    <w:p>
      <w:pPr>
        <w:pStyle w:val="Compact"/>
        <w:numPr>
          <w:ilvl w:val="0"/>
          <w:numId w:val="1017"/>
        </w:numPr>
      </w:pPr>
      <w:r>
        <w:t xml:space="preserve">Breach notification requirements</w:t>
      </w:r>
    </w:p>
    <w:bookmarkEnd w:id="34"/>
    <w:bookmarkStart w:id="35" w:name="audit-and-assessment"/>
    <w:p>
      <w:pPr>
        <w:pStyle w:val="Heading3"/>
      </w:pPr>
      <w:r>
        <w:t xml:space="preserve">9.3 Audit and Assessment</w:t>
      </w:r>
    </w:p>
    <w:p>
      <w:pPr>
        <w:pStyle w:val="Compact"/>
        <w:numPr>
          <w:ilvl w:val="0"/>
          <w:numId w:val="1018"/>
        </w:numPr>
      </w:pPr>
      <w:r>
        <w:t xml:space="preserve">Regular security audits</w:t>
      </w:r>
    </w:p>
    <w:p>
      <w:pPr>
        <w:pStyle w:val="Compact"/>
        <w:numPr>
          <w:ilvl w:val="0"/>
          <w:numId w:val="1018"/>
        </w:numPr>
      </w:pPr>
      <w:r>
        <w:t xml:space="preserve">Third-party assessments</w:t>
      </w:r>
    </w:p>
    <w:p>
      <w:pPr>
        <w:pStyle w:val="Compact"/>
        <w:numPr>
          <w:ilvl w:val="0"/>
          <w:numId w:val="1018"/>
        </w:numPr>
      </w:pPr>
      <w:r>
        <w:t xml:space="preserve">Compliance reviews</w:t>
      </w:r>
    </w:p>
    <w:p>
      <w:pPr>
        <w:pStyle w:val="Compact"/>
        <w:numPr>
          <w:ilvl w:val="0"/>
          <w:numId w:val="1018"/>
        </w:numPr>
      </w:pPr>
      <w:r>
        <w:t xml:space="preserve">Remediation of findings</w:t>
      </w:r>
    </w:p>
    <w:bookmarkEnd w:id="35"/>
    <w:bookmarkEnd w:id="36"/>
    <w:bookmarkStart w:id="39" w:name="security-awareness-and-training"/>
    <w:p>
      <w:pPr>
        <w:pStyle w:val="Heading2"/>
      </w:pPr>
      <w:r>
        <w:t xml:space="preserve">10. Security Awareness and Training</w:t>
      </w:r>
    </w:p>
    <w:bookmarkStart w:id="37" w:name="security-training"/>
    <w:p>
      <w:pPr>
        <w:pStyle w:val="Heading3"/>
      </w:pPr>
      <w:r>
        <w:t xml:space="preserve">10.1 Security Training</w:t>
      </w:r>
    </w:p>
    <w:p>
      <w:pPr>
        <w:pStyle w:val="Compact"/>
        <w:numPr>
          <w:ilvl w:val="0"/>
          <w:numId w:val="1019"/>
        </w:numPr>
      </w:pPr>
      <w:r>
        <w:t xml:space="preserve">Security awareness training for all personnel</w:t>
      </w:r>
    </w:p>
    <w:p>
      <w:pPr>
        <w:pStyle w:val="Compact"/>
        <w:numPr>
          <w:ilvl w:val="0"/>
          <w:numId w:val="1019"/>
        </w:numPr>
      </w:pPr>
      <w:r>
        <w:t xml:space="preserve">Role-specific security training</w:t>
      </w:r>
    </w:p>
    <w:p>
      <w:pPr>
        <w:pStyle w:val="Compact"/>
        <w:numPr>
          <w:ilvl w:val="0"/>
          <w:numId w:val="1019"/>
        </w:numPr>
      </w:pPr>
      <w:r>
        <w:t xml:space="preserve">Annual refresher training</w:t>
      </w:r>
    </w:p>
    <w:p>
      <w:pPr>
        <w:pStyle w:val="Compact"/>
        <w:numPr>
          <w:ilvl w:val="0"/>
          <w:numId w:val="1019"/>
        </w:numPr>
      </w:pPr>
      <w:r>
        <w:t xml:space="preserve">Training upon policy updates</w:t>
      </w:r>
    </w:p>
    <w:bookmarkEnd w:id="37"/>
    <w:bookmarkStart w:id="38" w:name="security-awareness"/>
    <w:p>
      <w:pPr>
        <w:pStyle w:val="Heading3"/>
      </w:pPr>
      <w:r>
        <w:t xml:space="preserve">10.2 Security Awareness</w:t>
      </w:r>
    </w:p>
    <w:p>
      <w:pPr>
        <w:pStyle w:val="Compact"/>
        <w:numPr>
          <w:ilvl w:val="0"/>
          <w:numId w:val="1020"/>
        </w:numPr>
      </w:pPr>
      <w:r>
        <w:t xml:space="preserve">Regular security communications</w:t>
      </w:r>
    </w:p>
    <w:p>
      <w:pPr>
        <w:pStyle w:val="Compact"/>
        <w:numPr>
          <w:ilvl w:val="0"/>
          <w:numId w:val="1020"/>
        </w:numPr>
      </w:pPr>
      <w:r>
        <w:t xml:space="preserve">Phishing awareness</w:t>
      </w:r>
    </w:p>
    <w:p>
      <w:pPr>
        <w:pStyle w:val="Compact"/>
        <w:numPr>
          <w:ilvl w:val="0"/>
          <w:numId w:val="1020"/>
        </w:numPr>
      </w:pPr>
      <w:r>
        <w:t xml:space="preserve">Social engineering awareness</w:t>
      </w:r>
    </w:p>
    <w:p>
      <w:pPr>
        <w:pStyle w:val="Compact"/>
        <w:numPr>
          <w:ilvl w:val="0"/>
          <w:numId w:val="1020"/>
        </w:numPr>
      </w:pPr>
      <w:r>
        <w:t xml:space="preserve">Security best practices</w:t>
      </w:r>
    </w:p>
    <w:bookmarkEnd w:id="38"/>
    <w:bookmarkEnd w:id="39"/>
    <w:bookmarkStart w:id="42" w:name="third-party-security"/>
    <w:p>
      <w:pPr>
        <w:pStyle w:val="Heading2"/>
      </w:pPr>
      <w:r>
        <w:t xml:space="preserve">11. Third-Party Security</w:t>
      </w:r>
    </w:p>
    <w:bookmarkStart w:id="40" w:name="vendor-management"/>
    <w:p>
      <w:pPr>
        <w:pStyle w:val="Heading3"/>
      </w:pPr>
      <w:r>
        <w:t xml:space="preserve">11.1 Vendor Management</w:t>
      </w:r>
    </w:p>
    <w:p>
      <w:pPr>
        <w:pStyle w:val="Compact"/>
        <w:numPr>
          <w:ilvl w:val="0"/>
          <w:numId w:val="1021"/>
        </w:numPr>
      </w:pPr>
      <w:r>
        <w:t xml:space="preserve">Vendor security assessments</w:t>
      </w:r>
    </w:p>
    <w:p>
      <w:pPr>
        <w:pStyle w:val="Compact"/>
        <w:numPr>
          <w:ilvl w:val="0"/>
          <w:numId w:val="1021"/>
        </w:numPr>
      </w:pPr>
      <w:r>
        <w:t xml:space="preserve">Vendor security agreements</w:t>
      </w:r>
    </w:p>
    <w:p>
      <w:pPr>
        <w:pStyle w:val="Compact"/>
        <w:numPr>
          <w:ilvl w:val="0"/>
          <w:numId w:val="1021"/>
        </w:numPr>
      </w:pPr>
      <w:r>
        <w:t xml:space="preserve">Ongoing vendor monitoring</w:t>
      </w:r>
    </w:p>
    <w:p>
      <w:pPr>
        <w:pStyle w:val="Compact"/>
        <w:numPr>
          <w:ilvl w:val="0"/>
          <w:numId w:val="1021"/>
        </w:numPr>
      </w:pPr>
      <w:r>
        <w:t xml:space="preserve">Vendor access controls</w:t>
      </w:r>
    </w:p>
    <w:bookmarkEnd w:id="40"/>
    <w:bookmarkStart w:id="41" w:name="cloud-security"/>
    <w:p>
      <w:pPr>
        <w:pStyle w:val="Heading3"/>
      </w:pPr>
      <w:r>
        <w:t xml:space="preserve">11.2 Cloud Security</w:t>
      </w:r>
    </w:p>
    <w:p>
      <w:pPr>
        <w:pStyle w:val="Compact"/>
        <w:numPr>
          <w:ilvl w:val="0"/>
          <w:numId w:val="1022"/>
        </w:numPr>
      </w:pPr>
      <w:r>
        <w:t xml:space="preserve">Cloud security controls</w:t>
      </w:r>
    </w:p>
    <w:p>
      <w:pPr>
        <w:pStyle w:val="Compact"/>
        <w:numPr>
          <w:ilvl w:val="0"/>
          <w:numId w:val="1022"/>
        </w:numPr>
      </w:pPr>
      <w:r>
        <w:t xml:space="preserve">Cloud provider security assessments</w:t>
      </w:r>
    </w:p>
    <w:p>
      <w:pPr>
        <w:pStyle w:val="Compact"/>
        <w:numPr>
          <w:ilvl w:val="0"/>
          <w:numId w:val="1022"/>
        </w:numPr>
      </w:pPr>
      <w:r>
        <w:t xml:space="preserve">Cloud access controls</w:t>
      </w:r>
    </w:p>
    <w:p>
      <w:pPr>
        <w:pStyle w:val="Compact"/>
        <w:numPr>
          <w:ilvl w:val="0"/>
          <w:numId w:val="1022"/>
        </w:numPr>
      </w:pPr>
      <w:r>
        <w:t xml:space="preserve">Cloud data protection</w:t>
      </w:r>
    </w:p>
    <w:bookmarkEnd w:id="41"/>
    <w:bookmarkEnd w:id="42"/>
    <w:bookmarkStart w:id="43" w:name="X6f53d56edaacb75113053ef4ffeacbed3d2ec77"/>
    <w:p>
      <w:pPr>
        <w:pStyle w:val="Heading2"/>
      </w:pPr>
      <w:r>
        <w:t xml:space="preserve">12. Business Continuity and Disaster Recovery</w:t>
      </w:r>
    </w:p>
    <w:p>
      <w:pPr>
        <w:pStyle w:val="Compact"/>
        <w:numPr>
          <w:ilvl w:val="0"/>
          <w:numId w:val="1023"/>
        </w:numPr>
      </w:pPr>
      <w:r>
        <w:t xml:space="preserve">Business continuity plans</w:t>
      </w:r>
    </w:p>
    <w:p>
      <w:pPr>
        <w:pStyle w:val="Compact"/>
        <w:numPr>
          <w:ilvl w:val="0"/>
          <w:numId w:val="1023"/>
        </w:numPr>
      </w:pPr>
      <w:r>
        <w:t xml:space="preserve">Disaster recovery plans</w:t>
      </w:r>
    </w:p>
    <w:p>
      <w:pPr>
        <w:pStyle w:val="Compact"/>
        <w:numPr>
          <w:ilvl w:val="0"/>
          <w:numId w:val="1023"/>
        </w:numPr>
      </w:pPr>
      <w:r>
        <w:t xml:space="preserve">Regular testing and updates</w:t>
      </w:r>
    </w:p>
    <w:p>
      <w:pPr>
        <w:pStyle w:val="Compact"/>
        <w:numPr>
          <w:ilvl w:val="0"/>
          <w:numId w:val="1023"/>
        </w:numPr>
      </w:pPr>
      <w:r>
        <w:t xml:space="preserve">Recovery time and point objectives</w:t>
      </w:r>
    </w:p>
    <w:bookmarkEnd w:id="43"/>
    <w:bookmarkStart w:id="44" w:name="security-metrics-and-reporting"/>
    <w:p>
      <w:pPr>
        <w:pStyle w:val="Heading2"/>
      </w:pPr>
      <w:r>
        <w:t xml:space="preserve">13. Security Metrics and Reporting</w:t>
      </w:r>
    </w:p>
    <w:p>
      <w:pPr>
        <w:pStyle w:val="Compact"/>
        <w:numPr>
          <w:ilvl w:val="0"/>
          <w:numId w:val="1024"/>
        </w:numPr>
      </w:pPr>
      <w:r>
        <w:t xml:space="preserve">Security metrics defined and tracked</w:t>
      </w:r>
    </w:p>
    <w:p>
      <w:pPr>
        <w:pStyle w:val="Compact"/>
        <w:numPr>
          <w:ilvl w:val="0"/>
          <w:numId w:val="1024"/>
        </w:numPr>
      </w:pPr>
      <w:r>
        <w:t xml:space="preserve">Regular security reporting to management</w:t>
      </w:r>
    </w:p>
    <w:p>
      <w:pPr>
        <w:pStyle w:val="Compact"/>
        <w:numPr>
          <w:ilvl w:val="0"/>
          <w:numId w:val="1024"/>
        </w:numPr>
      </w:pPr>
      <w:r>
        <w:t xml:space="preserve">Security dashboard and KPIs</w:t>
      </w:r>
    </w:p>
    <w:p>
      <w:pPr>
        <w:pStyle w:val="Compact"/>
        <w:numPr>
          <w:ilvl w:val="0"/>
          <w:numId w:val="1024"/>
        </w:numPr>
      </w:pPr>
      <w:r>
        <w:t xml:space="preserve">Trend analysis and improvement</w:t>
      </w:r>
    </w:p>
    <w:bookmarkEnd w:id="44"/>
    <w:bookmarkStart w:id="47" w:name="policy-compliance"/>
    <w:p>
      <w:pPr>
        <w:pStyle w:val="Heading2"/>
      </w:pPr>
      <w:r>
        <w:t xml:space="preserve">14. Policy Compliance</w:t>
      </w:r>
    </w:p>
    <w:bookmarkStart w:id="45" w:name="compliance-monitoring"/>
    <w:p>
      <w:pPr>
        <w:pStyle w:val="Heading3"/>
      </w:pPr>
      <w:r>
        <w:t xml:space="preserve">14.1 Compliance Monitoring</w:t>
      </w:r>
    </w:p>
    <w:p>
      <w:pPr>
        <w:pStyle w:val="Compact"/>
        <w:numPr>
          <w:ilvl w:val="0"/>
          <w:numId w:val="1025"/>
        </w:numPr>
      </w:pPr>
      <w:r>
        <w:t xml:space="preserve">Regular compliance assessments</w:t>
      </w:r>
    </w:p>
    <w:p>
      <w:pPr>
        <w:pStyle w:val="Compact"/>
        <w:numPr>
          <w:ilvl w:val="0"/>
          <w:numId w:val="1025"/>
        </w:numPr>
      </w:pPr>
      <w:r>
        <w:t xml:space="preserve">Policy compliance reviews</w:t>
      </w:r>
    </w:p>
    <w:p>
      <w:pPr>
        <w:pStyle w:val="Compact"/>
        <w:numPr>
          <w:ilvl w:val="0"/>
          <w:numId w:val="1025"/>
        </w:numPr>
      </w:pPr>
      <w:r>
        <w:t xml:space="preserve">Violation tracking and remediation</w:t>
      </w:r>
    </w:p>
    <w:bookmarkEnd w:id="45"/>
    <w:bookmarkStart w:id="46" w:name="consequences-of-non-compliance"/>
    <w:p>
      <w:pPr>
        <w:pStyle w:val="Heading3"/>
      </w:pPr>
      <w:r>
        <w:t xml:space="preserve">14.2 Consequences of Non-Compliance</w:t>
      </w:r>
    </w:p>
    <w:p>
      <w:pPr>
        <w:pStyle w:val="FirstParagraph"/>
      </w:pPr>
      <w:r>
        <w:t xml:space="preserve">Non-compliance may result in:</w:t>
      </w:r>
      <w:r>
        <w:t xml:space="preserve"> </w:t>
      </w:r>
      <w:r>
        <w:t xml:space="preserve">- Mandatory training</w:t>
      </w:r>
      <w:r>
        <w:t xml:space="preserve"> </w:t>
      </w:r>
      <w:r>
        <w:t xml:space="preserve">- Written warnings</w:t>
      </w:r>
      <w:r>
        <w:t xml:space="preserve"> </w:t>
      </w:r>
      <w:r>
        <w:t xml:space="preserve">- Suspension of access</w:t>
      </w:r>
      <w:r>
        <w:t xml:space="preserve"> </w:t>
      </w:r>
      <w:r>
        <w:t xml:space="preserve">- Termination of employment</w:t>
      </w:r>
      <w:r>
        <w:t xml:space="preserve"> </w:t>
      </w:r>
      <w:r>
        <w:t xml:space="preserve">- Legal consequences</w:t>
      </w:r>
    </w:p>
    <w:bookmarkEnd w:id="46"/>
    <w:bookmarkEnd w:id="47"/>
    <w:bookmarkStart w:id="48" w:name="policy-exceptions"/>
    <w:p>
      <w:pPr>
        <w:pStyle w:val="Heading2"/>
      </w:pPr>
      <w:r>
        <w:t xml:space="preserve">15. Policy Exceptions</w:t>
      </w:r>
    </w:p>
    <w:p>
      <w:pPr>
        <w:pStyle w:val="Compact"/>
        <w:numPr>
          <w:ilvl w:val="0"/>
          <w:numId w:val="1026"/>
        </w:numPr>
      </w:pPr>
      <w:r>
        <w:t xml:space="preserve">Exceptions require written approval</w:t>
      </w:r>
    </w:p>
    <w:p>
      <w:pPr>
        <w:pStyle w:val="Compact"/>
        <w:numPr>
          <w:ilvl w:val="0"/>
          <w:numId w:val="1026"/>
        </w:numPr>
      </w:pPr>
      <w:r>
        <w:t xml:space="preserve">Risk assessment required</w:t>
      </w:r>
    </w:p>
    <w:p>
      <w:pPr>
        <w:pStyle w:val="Compact"/>
        <w:numPr>
          <w:ilvl w:val="0"/>
          <w:numId w:val="1026"/>
        </w:numPr>
      </w:pPr>
      <w:r>
        <w:t xml:space="preserve">Compensating controls implemented</w:t>
      </w:r>
    </w:p>
    <w:p>
      <w:pPr>
        <w:pStyle w:val="Compact"/>
        <w:numPr>
          <w:ilvl w:val="0"/>
          <w:numId w:val="1026"/>
        </w:numPr>
      </w:pPr>
      <w:r>
        <w:t xml:space="preserve">Regular review of exceptions</w:t>
      </w:r>
    </w:p>
    <w:p>
      <w:pPr>
        <w:pStyle w:val="Compact"/>
        <w:numPr>
          <w:ilvl w:val="0"/>
          <w:numId w:val="1026"/>
        </w:numPr>
      </w:pPr>
      <w:r>
        <w:t xml:space="preserve">Documentation maintained</w:t>
      </w:r>
    </w:p>
    <w:bookmarkEnd w:id="48"/>
    <w:bookmarkStart w:id="49" w:name="related-policies"/>
    <w:p>
      <w:pPr>
        <w:pStyle w:val="Heading2"/>
      </w:pPr>
      <w:r>
        <w:t xml:space="preserve">16. Related Policies</w:t>
      </w:r>
    </w:p>
    <w:p>
      <w:pPr>
        <w:pStyle w:val="Compact"/>
        <w:numPr>
          <w:ilvl w:val="0"/>
          <w:numId w:val="1027"/>
        </w:numPr>
      </w:pPr>
      <w:r>
        <w:t xml:space="preserve">Acceptable Use Policy</w:t>
      </w:r>
    </w:p>
    <w:p>
      <w:pPr>
        <w:pStyle w:val="Compact"/>
        <w:numPr>
          <w:ilvl w:val="0"/>
          <w:numId w:val="1027"/>
        </w:numPr>
      </w:pPr>
      <w:r>
        <w:t xml:space="preserve">Access Control Policy</w:t>
      </w:r>
    </w:p>
    <w:p>
      <w:pPr>
        <w:pStyle w:val="Compact"/>
        <w:numPr>
          <w:ilvl w:val="0"/>
          <w:numId w:val="1027"/>
        </w:numPr>
      </w:pPr>
      <w:r>
        <w:t xml:space="preserve">Data Classification and Handling Policy</w:t>
      </w:r>
    </w:p>
    <w:p>
      <w:pPr>
        <w:pStyle w:val="Compact"/>
        <w:numPr>
          <w:ilvl w:val="0"/>
          <w:numId w:val="1027"/>
        </w:numPr>
      </w:pPr>
      <w:r>
        <w:t xml:space="preserve">Incident Response Policy</w:t>
      </w:r>
    </w:p>
    <w:p>
      <w:pPr>
        <w:pStyle w:val="Compact"/>
        <w:numPr>
          <w:ilvl w:val="0"/>
          <w:numId w:val="1027"/>
        </w:numPr>
      </w:pPr>
      <w:r>
        <w:t xml:space="preserve">Change Management Policy</w:t>
      </w:r>
    </w:p>
    <w:p>
      <w:pPr>
        <w:pStyle w:val="Compact"/>
        <w:numPr>
          <w:ilvl w:val="0"/>
          <w:numId w:val="1027"/>
        </w:numPr>
      </w:pPr>
      <w:r>
        <w:t xml:space="preserve">Logging and Monitoring Policy</w:t>
      </w:r>
    </w:p>
    <w:p>
      <w:pPr>
        <w:pStyle w:val="Compact"/>
        <w:numPr>
          <w:ilvl w:val="0"/>
          <w:numId w:val="1027"/>
        </w:numPr>
      </w:pPr>
      <w:r>
        <w:t xml:space="preserve">Vendor Management Policy</w:t>
      </w:r>
    </w:p>
    <w:p>
      <w:pPr>
        <w:pStyle w:val="Compact"/>
        <w:numPr>
          <w:ilvl w:val="0"/>
          <w:numId w:val="1027"/>
        </w:numPr>
      </w:pPr>
      <w:r>
        <w:t xml:space="preserve">Privacy Management Policy</w:t>
      </w:r>
    </w:p>
    <w:p>
      <w:pPr>
        <w:pStyle w:val="Compact"/>
        <w:numPr>
          <w:ilvl w:val="0"/>
          <w:numId w:val="1027"/>
        </w:numPr>
      </w:pPr>
      <w:r>
        <w:t xml:space="preserve">Risk Communication Management Policy</w:t>
      </w:r>
    </w:p>
    <w:bookmarkEnd w:id="49"/>
    <w:bookmarkStart w:id="50" w:name="review-and-updates"/>
    <w:p>
      <w:pPr>
        <w:pStyle w:val="Heading2"/>
      </w:pPr>
      <w:r>
        <w:t xml:space="preserve">17. Review and Updates</w:t>
      </w:r>
    </w:p>
    <w:p>
      <w:pPr>
        <w:pStyle w:val="FirstParagraph"/>
      </w:pPr>
      <w:r>
        <w:t xml:space="preserve">This policy is reviewed:</w:t>
      </w:r>
      <w:r>
        <w:t xml:space="preserve"> </w:t>
      </w:r>
      <w:r>
        <w:t xml:space="preserve">- Annually</w:t>
      </w:r>
      <w:r>
        <w:t xml:space="preserve"> </w:t>
      </w:r>
      <w:r>
        <w:t xml:space="preserve">- Following major organizational changes</w:t>
      </w:r>
      <w:r>
        <w:t xml:space="preserve"> </w:t>
      </w:r>
      <w:r>
        <w:t xml:space="preserve">- Following regulatory changes</w:t>
      </w:r>
      <w:r>
        <w:t xml:space="preserve"> </w:t>
      </w:r>
      <w:r>
        <w:t xml:space="preserve">- Following security incidents</w:t>
      </w:r>
      <w:r>
        <w:t xml:space="preserve"> </w:t>
      </w:r>
      <w:r>
        <w:t xml:space="preserve">- Following technology changes</w:t>
      </w:r>
    </w:p>
    <w:bookmarkEnd w:id="50"/>
    <w:bookmarkStart w:id="51" w:name="approval-and-distribution"/>
    <w:p>
      <w:pPr>
        <w:pStyle w:val="Heading2"/>
      </w:pPr>
      <w:r>
        <w:t xml:space="preserve">18. Approval and Distribution</w:t>
      </w:r>
    </w:p>
    <w:p>
      <w:pPr>
        <w:pStyle w:val="Compact"/>
        <w:numPr>
          <w:ilvl w:val="0"/>
          <w:numId w:val="1028"/>
        </w:numPr>
      </w:pPr>
      <w:r>
        <w:rPr>
          <w:b/>
          <w:bCs/>
        </w:rPr>
        <w:t xml:space="preserve">Approved By:</w:t>
      </w:r>
      <w:r>
        <w:t xml:space="preserve"> </w:t>
      </w:r>
      <w:r>
        <w:t xml:space="preserve">[To be completed]</w:t>
      </w:r>
    </w:p>
    <w:p>
      <w:pPr>
        <w:pStyle w:val="Compact"/>
        <w:numPr>
          <w:ilvl w:val="0"/>
          <w:numId w:val="1028"/>
        </w:numPr>
      </w:pPr>
      <w:r>
        <w:rPr>
          <w:b/>
          <w:bCs/>
        </w:rPr>
        <w:t xml:space="preserve">Distribution:</w:t>
      </w:r>
      <w:r>
        <w:t xml:space="preserve"> </w:t>
      </w:r>
      <w:r>
        <w:t xml:space="preserve">All employees and contractors</w:t>
      </w:r>
    </w:p>
    <w:p>
      <w:pPr>
        <w:pStyle w:val="Compact"/>
        <w:numPr>
          <w:ilvl w:val="0"/>
          <w:numId w:val="1028"/>
        </w:numPr>
      </w:pPr>
      <w:r>
        <w:rPr>
          <w:b/>
          <w:bCs/>
        </w:rPr>
        <w:t xml:space="preserve">Version Control:</w:t>
      </w:r>
      <w:r>
        <w:t xml:space="preserve"> </w:t>
      </w:r>
      <w:r>
        <w:t xml:space="preserve">Managed by InfoSec Team</w:t>
      </w:r>
    </w:p>
    <w:p>
      <w:r>
        <w:pict>
          <v:rect style="width:0;height:1.5pt" o:hralign="center" o:hrstd="t" o:hr="t"/>
        </w:pict>
      </w:r>
    </w:p>
    <w:p>
      <w:pPr>
        <w:pStyle w:val="FirstParagraph"/>
      </w:pPr>
      <w:r>
        <w:rPr>
          <w:b/>
          <w:bCs/>
        </w:rPr>
        <w:t xml:space="preserve">Document Control:</w:t>
      </w:r>
      <w:r>
        <w:t xml:space="preserve"> </w:t>
      </w:r>
      <w:r>
        <w:t xml:space="preserve">-</w:t>
      </w:r>
      <w:r>
        <w:t xml:space="preserve"> </w:t>
      </w:r>
      <w:r>
        <w:rPr>
          <w:b/>
          <w:bCs/>
        </w:rPr>
        <w:t xml:space="preserve">Version:</w:t>
      </w:r>
      <w:r>
        <w:t xml:space="preserve"> </w:t>
      </w:r>
      <w:r>
        <w:t xml:space="preserve">1.0</w:t>
      </w:r>
      <w:r>
        <w:t xml:space="preserve"> </w:t>
      </w:r>
      <w:r>
        <w:t xml:space="preserve">-</w:t>
      </w:r>
      <w:r>
        <w:t xml:space="preserve"> </w:t>
      </w:r>
      <w:r>
        <w:rPr>
          <w:b/>
          <w:bCs/>
        </w:rPr>
        <w:t xml:space="preserve">Last Updated:</w:t>
      </w:r>
      <w:r>
        <w:t xml:space="preserve"> </w:t>
      </w:r>
      <w:r>
        <w:t xml:space="preserve">December 2025</w:t>
      </w:r>
      <w:r>
        <w:t xml:space="preserve"> </w:t>
      </w:r>
      <w:r>
        <w:t xml:space="preserve">-</w:t>
      </w:r>
      <w:r>
        <w:t xml:space="preserve"> </w:t>
      </w:r>
      <w:r>
        <w:rPr>
          <w:b/>
          <w:bCs/>
        </w:rPr>
        <w:t xml:space="preserve">Next Review:</w:t>
      </w:r>
      <w:r>
        <w:t xml:space="preserve"> </w:t>
      </w:r>
      <w:r>
        <w:t xml:space="preserve">December 2026</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2025-12-02T21:00:30Z</dcterms:created>
  <dcterms:modified xsi:type="dcterms:W3CDTF">2025-12-02T21:00:30Z</dcterms:modified>
</cp:coreProperties>
</file>

<file path=docProps/custom.xml><?xml version="1.0" encoding="utf-8"?>
<Properties xmlns="http://schemas.openxmlformats.org/officeDocument/2006/custom-properties" xmlns:vt="http://schemas.openxmlformats.org/officeDocument/2006/docPropsVTypes"/>
</file>