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vendor-management-policy"/>
    <w:p>
      <w:pPr>
        <w:pStyle w:val="Heading1"/>
      </w:pPr>
      <w:r>
        <w:t xml:space="preserve">Vendor Management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managing third-party vendors and service providers to ensure they meet EcoMetricx’s security, privacy, and compliance standards. This policy supports SOC 2 Trust Service Criteria CC3.2 (Vendor Management).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third-party vendors and service providers</w:t>
      </w:r>
      <w:r>
        <w:t xml:space="preserve"> </w:t>
      </w:r>
      <w:r>
        <w:t xml:space="preserve">- All contractors and consultants</w:t>
      </w:r>
      <w:r>
        <w:t xml:space="preserve"> </w:t>
      </w:r>
      <w:r>
        <w:t xml:space="preserve">- All cloud service providers</w:t>
      </w:r>
      <w:r>
        <w:t xml:space="preserve"> </w:t>
      </w:r>
      <w:r>
        <w:t xml:space="preserve">- All software-as-a-service (SaaS) providers</w:t>
      </w:r>
      <w:r>
        <w:t xml:space="preserve"> </w:t>
      </w:r>
      <w:r>
        <w:t xml:space="preserve">- All vendors with access to EcoMetricx data or systems</w:t>
      </w:r>
    </w:p>
    <w:bookmarkEnd w:id="10"/>
    <w:bookmarkStart w:id="14" w:name="vendor-classification"/>
    <w:p>
      <w:pPr>
        <w:pStyle w:val="Heading2"/>
      </w:pPr>
      <w:r>
        <w:t xml:space="preserve">3. Vendor Classification</w:t>
      </w:r>
    </w:p>
    <w:bookmarkStart w:id="11" w:name="critical-vendors"/>
    <w:p>
      <w:pPr>
        <w:pStyle w:val="Heading3"/>
      </w:pPr>
      <w:r>
        <w:t xml:space="preserve">3.1 Critical Vendors</w:t>
      </w:r>
    </w:p>
    <w:p>
      <w:pPr>
        <w:pStyle w:val="Compact"/>
        <w:numPr>
          <w:ilvl w:val="0"/>
          <w:numId w:val="1001"/>
        </w:numPr>
      </w:pPr>
      <w:r>
        <w:t xml:space="preserve">Access to Confidential or Restricted data</w:t>
      </w:r>
    </w:p>
    <w:p>
      <w:pPr>
        <w:pStyle w:val="Compact"/>
        <w:numPr>
          <w:ilvl w:val="0"/>
          <w:numId w:val="1001"/>
        </w:numPr>
      </w:pPr>
      <w:r>
        <w:t xml:space="preserve">Access to production systems</w:t>
      </w:r>
    </w:p>
    <w:p>
      <w:pPr>
        <w:pStyle w:val="Compact"/>
        <w:numPr>
          <w:ilvl w:val="0"/>
          <w:numId w:val="1001"/>
        </w:numPr>
      </w:pPr>
      <w:r>
        <w:t xml:space="preserve">Business-critical services</w:t>
      </w:r>
    </w:p>
    <w:p>
      <w:pPr>
        <w:pStyle w:val="Compact"/>
        <w:numPr>
          <w:ilvl w:val="0"/>
          <w:numId w:val="1001"/>
        </w:numPr>
      </w:pPr>
      <w:r>
        <w:t xml:space="preserve">Regulatory compliance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Comprehensive security assessment required</w:t>
      </w:r>
    </w:p>
    <w:bookmarkEnd w:id="11"/>
    <w:bookmarkStart w:id="12" w:name="standard-vendors"/>
    <w:p>
      <w:pPr>
        <w:pStyle w:val="Heading3"/>
      </w:pPr>
      <w:r>
        <w:t xml:space="preserve">3.2 Standard Vendors</w:t>
      </w:r>
    </w:p>
    <w:p>
      <w:pPr>
        <w:pStyle w:val="Compact"/>
        <w:numPr>
          <w:ilvl w:val="0"/>
          <w:numId w:val="1002"/>
        </w:numPr>
      </w:pPr>
      <w:r>
        <w:t xml:space="preserve">Limited access to Internal data</w:t>
      </w:r>
    </w:p>
    <w:p>
      <w:pPr>
        <w:pStyle w:val="Compact"/>
        <w:numPr>
          <w:ilvl w:val="0"/>
          <w:numId w:val="1002"/>
        </w:numPr>
      </w:pPr>
      <w:r>
        <w:t xml:space="preserve">Non-production system access</w:t>
      </w:r>
    </w:p>
    <w:p>
      <w:pPr>
        <w:pStyle w:val="Compact"/>
        <w:numPr>
          <w:ilvl w:val="0"/>
          <w:numId w:val="1002"/>
        </w:numPr>
      </w:pPr>
      <w:r>
        <w:t xml:space="preserve">Standard business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Standard security assessment</w:t>
      </w:r>
    </w:p>
    <w:bookmarkEnd w:id="12"/>
    <w:bookmarkStart w:id="13" w:name="low-risk-vendors"/>
    <w:p>
      <w:pPr>
        <w:pStyle w:val="Heading3"/>
      </w:pPr>
      <w:r>
        <w:t xml:space="preserve">3.3 Low-Risk Vendors</w:t>
      </w:r>
    </w:p>
    <w:p>
      <w:pPr>
        <w:pStyle w:val="Compact"/>
        <w:numPr>
          <w:ilvl w:val="0"/>
          <w:numId w:val="1003"/>
        </w:numPr>
      </w:pPr>
      <w:r>
        <w:t xml:space="preserve">Public data only</w:t>
      </w:r>
    </w:p>
    <w:p>
      <w:pPr>
        <w:pStyle w:val="Compact"/>
        <w:numPr>
          <w:ilvl w:val="0"/>
          <w:numId w:val="1003"/>
        </w:numPr>
      </w:pPr>
      <w:r>
        <w:t xml:space="preserve">No system access</w:t>
      </w:r>
    </w:p>
    <w:p>
      <w:pPr>
        <w:pStyle w:val="Compact"/>
        <w:numPr>
          <w:ilvl w:val="0"/>
          <w:numId w:val="1003"/>
        </w:numPr>
      </w:pPr>
      <w:r>
        <w:t xml:space="preserve">Commodity 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Basic security questionnaire</w:t>
      </w:r>
    </w:p>
    <w:bookmarkEnd w:id="13"/>
    <w:bookmarkEnd w:id="14"/>
    <w:bookmarkStart w:id="18" w:name="vendor-selection-and-onboarding"/>
    <w:p>
      <w:pPr>
        <w:pStyle w:val="Heading2"/>
      </w:pPr>
      <w:r>
        <w:t xml:space="preserve">4. Vendor Selection and Onboarding</w:t>
      </w:r>
    </w:p>
    <w:bookmarkStart w:id="15" w:name="vendor-selection-process"/>
    <w:p>
      <w:pPr>
        <w:pStyle w:val="Heading3"/>
      </w:pPr>
      <w:r>
        <w:t xml:space="preserve">4.1 Vendor Selection Process</w:t>
      </w:r>
    </w:p>
    <w:p>
      <w:pPr>
        <w:pStyle w:val="Compact"/>
        <w:numPr>
          <w:ilvl w:val="0"/>
          <w:numId w:val="1004"/>
        </w:numPr>
      </w:pPr>
      <w:r>
        <w:t xml:space="preserve">Business need identified</w:t>
      </w:r>
    </w:p>
    <w:p>
      <w:pPr>
        <w:pStyle w:val="Compact"/>
        <w:numPr>
          <w:ilvl w:val="0"/>
          <w:numId w:val="1004"/>
        </w:numPr>
      </w:pPr>
      <w:r>
        <w:t xml:space="preserve">Vendor security assessment</w:t>
      </w:r>
    </w:p>
    <w:p>
      <w:pPr>
        <w:pStyle w:val="Compact"/>
        <w:numPr>
          <w:ilvl w:val="0"/>
          <w:numId w:val="1004"/>
        </w:numPr>
      </w:pPr>
      <w:r>
        <w:t xml:space="preserve">Risk assessment</w:t>
      </w:r>
    </w:p>
    <w:p>
      <w:pPr>
        <w:pStyle w:val="Compact"/>
        <w:numPr>
          <w:ilvl w:val="0"/>
          <w:numId w:val="1004"/>
        </w:numPr>
      </w:pPr>
      <w:r>
        <w:t xml:space="preserve">Management approval</w:t>
      </w:r>
    </w:p>
    <w:p>
      <w:pPr>
        <w:pStyle w:val="Compact"/>
        <w:numPr>
          <w:ilvl w:val="0"/>
          <w:numId w:val="1004"/>
        </w:numPr>
      </w:pPr>
      <w:r>
        <w:t xml:space="preserve">Contract negotiation</w:t>
      </w:r>
    </w:p>
    <w:p>
      <w:pPr>
        <w:pStyle w:val="Compact"/>
        <w:numPr>
          <w:ilvl w:val="0"/>
          <w:numId w:val="1004"/>
        </w:numPr>
      </w:pPr>
      <w:r>
        <w:t xml:space="preserve">Security requirements included in contract</w:t>
      </w:r>
    </w:p>
    <w:bookmarkEnd w:id="15"/>
    <w:bookmarkStart w:id="16" w:name="security-assessment"/>
    <w:p>
      <w:pPr>
        <w:pStyle w:val="Heading3"/>
      </w:pPr>
      <w:r>
        <w:t xml:space="preserve">4.2 Security Assessment</w:t>
      </w:r>
    </w:p>
    <w:p>
      <w:pPr>
        <w:pStyle w:val="FirstParagraph"/>
      </w:pPr>
      <w:r>
        <w:rPr>
          <w:b/>
          <w:bCs/>
        </w:rPr>
        <w:t xml:space="preserve">Assessment Components:</w:t>
      </w:r>
      <w:r>
        <w:t xml:space="preserve"> </w:t>
      </w:r>
      <w:r>
        <w:t xml:space="preserve">- Security questionnaire</w:t>
      </w:r>
      <w:r>
        <w:t xml:space="preserve"> </w:t>
      </w:r>
      <w:r>
        <w:t xml:space="preserve">- SOC 2 or ISO 27001 certification review</w:t>
      </w:r>
      <w:r>
        <w:t xml:space="preserve"> </w:t>
      </w:r>
      <w:r>
        <w:t xml:space="preserve">- Security audit reports</w:t>
      </w:r>
      <w:r>
        <w:t xml:space="preserve"> </w:t>
      </w:r>
      <w:r>
        <w:t xml:space="preserve">- Incident response capabilities</w:t>
      </w:r>
      <w:r>
        <w:t xml:space="preserve"> </w:t>
      </w:r>
      <w:r>
        <w:t xml:space="preserve">- Data protection measures</w:t>
      </w:r>
      <w:r>
        <w:t xml:space="preserve"> </w:t>
      </w:r>
      <w:r>
        <w:t xml:space="preserve">- Compliance certifications</w:t>
      </w:r>
    </w:p>
    <w:p>
      <w:pPr>
        <w:pStyle w:val="BodyText"/>
      </w:pPr>
      <w:r>
        <w:rPr>
          <w:b/>
          <w:bCs/>
        </w:rPr>
        <w:t xml:space="preserve">Assessment Criteria:</w:t>
      </w:r>
      <w:r>
        <w:t xml:space="preserve"> </w:t>
      </w:r>
      <w:r>
        <w:t xml:space="preserve">- Information security program</w:t>
      </w:r>
      <w:r>
        <w:t xml:space="preserve"> </w:t>
      </w:r>
      <w:r>
        <w:t xml:space="preserve">- Access controls</w:t>
      </w:r>
      <w:r>
        <w:t xml:space="preserve"> </w:t>
      </w:r>
      <w:r>
        <w:t xml:space="preserve">- Encryption capabilities</w:t>
      </w:r>
      <w:r>
        <w:t xml:space="preserve"> </w:t>
      </w:r>
      <w:r>
        <w:t xml:space="preserve">- Incident response procedures</w:t>
      </w:r>
      <w:r>
        <w:t xml:space="preserve"> </w:t>
      </w:r>
      <w:r>
        <w:t xml:space="preserve">- Business continuity planning</w:t>
      </w:r>
      <w:r>
        <w:t xml:space="preserve"> </w:t>
      </w:r>
      <w:r>
        <w:t xml:space="preserve">- Compliance with applicable regulations</w:t>
      </w:r>
    </w:p>
    <w:bookmarkEnd w:id="16"/>
    <w:bookmarkStart w:id="17" w:name="contract-requirements"/>
    <w:p>
      <w:pPr>
        <w:pStyle w:val="Heading3"/>
      </w:pPr>
      <w:r>
        <w:t xml:space="preserve">4.3 Contract Requirements</w:t>
      </w:r>
    </w:p>
    <w:p>
      <w:pPr>
        <w:pStyle w:val="FirstParagraph"/>
      </w:pPr>
      <w:r>
        <w:rPr>
          <w:b/>
          <w:bCs/>
        </w:rPr>
        <w:t xml:space="preserve">Security Requirements:</w:t>
      </w:r>
      <w:r>
        <w:t xml:space="preserve"> </w:t>
      </w:r>
      <w:r>
        <w:t xml:space="preserve">- Security controls and measures</w:t>
      </w:r>
      <w:r>
        <w:t xml:space="preserve"> </w:t>
      </w:r>
      <w:r>
        <w:t xml:space="preserve">- Data protection requirements</w:t>
      </w:r>
      <w:r>
        <w:t xml:space="preserve"> </w:t>
      </w:r>
      <w:r>
        <w:t xml:space="preserve">- Access control requirements</w:t>
      </w:r>
      <w:r>
        <w:t xml:space="preserve"> </w:t>
      </w:r>
      <w:r>
        <w:t xml:space="preserve">- Incident notification requirements</w:t>
      </w:r>
      <w:r>
        <w:t xml:space="preserve"> </w:t>
      </w:r>
      <w:r>
        <w:t xml:space="preserve">- Audit and assessment rights</w:t>
      </w:r>
      <w:r>
        <w:t xml:space="preserve"> </w:t>
      </w:r>
      <w:r>
        <w:t xml:space="preserve">- Data breach notification (24-72 hours)</w:t>
      </w:r>
      <w:r>
        <w:t xml:space="preserve"> </w:t>
      </w:r>
      <w:r>
        <w:t xml:space="preserve">- Right to audit</w:t>
      </w:r>
      <w:r>
        <w:t xml:space="preserve"> </w:t>
      </w:r>
      <w:r>
        <w:t xml:space="preserve">- Data ownership and return</w:t>
      </w:r>
      <w:r>
        <w:t xml:space="preserve"> </w:t>
      </w:r>
      <w:r>
        <w:t xml:space="preserve">- Termination and data deletion</w:t>
      </w:r>
    </w:p>
    <w:p>
      <w:pPr>
        <w:pStyle w:val="BodyText"/>
      </w:pPr>
      <w:r>
        <w:rPr>
          <w:b/>
          <w:bCs/>
        </w:rPr>
        <w:t xml:space="preserve">Compliance Requirements:</w:t>
      </w:r>
      <w:r>
        <w:t xml:space="preserve"> </w:t>
      </w:r>
      <w:r>
        <w:t xml:space="preserve">- SOC 2 Type II certification (for critical vendors)</w:t>
      </w:r>
      <w:r>
        <w:t xml:space="preserve"> </w:t>
      </w:r>
      <w:r>
        <w:t xml:space="preserve">- GDPR compliance (if applicable)</w:t>
      </w:r>
      <w:r>
        <w:t xml:space="preserve"> </w:t>
      </w:r>
      <w:r>
        <w:t xml:space="preserve">- HIPAA compliance (if applicable)</w:t>
      </w:r>
      <w:r>
        <w:t xml:space="preserve"> </w:t>
      </w:r>
      <w:r>
        <w:t xml:space="preserve">- PCI-DSS compliance (if applicable)</w:t>
      </w:r>
      <w:r>
        <w:t xml:space="preserve"> </w:t>
      </w:r>
      <w:r>
        <w:t xml:space="preserve">- Other applicable regulations</w:t>
      </w:r>
    </w:p>
    <w:bookmarkEnd w:id="17"/>
    <w:bookmarkEnd w:id="18"/>
    <w:bookmarkStart w:id="22" w:name="vendor-access-management"/>
    <w:p>
      <w:pPr>
        <w:pStyle w:val="Heading2"/>
      </w:pPr>
      <w:r>
        <w:t xml:space="preserve">5. Vendor Access Management</w:t>
      </w:r>
    </w:p>
    <w:bookmarkStart w:id="19" w:name="access-requirements"/>
    <w:p>
      <w:pPr>
        <w:pStyle w:val="Heading3"/>
      </w:pPr>
      <w:r>
        <w:t xml:space="preserve">5.1 Access Requirements</w:t>
      </w:r>
    </w:p>
    <w:p>
      <w:pPr>
        <w:pStyle w:val="Compact"/>
        <w:numPr>
          <w:ilvl w:val="0"/>
          <w:numId w:val="1005"/>
        </w:numPr>
      </w:pPr>
      <w:r>
        <w:t xml:space="preserve">Vendor-specific accounts (no shared accounts)</w:t>
      </w:r>
    </w:p>
    <w:p>
      <w:pPr>
        <w:pStyle w:val="Compact"/>
        <w:numPr>
          <w:ilvl w:val="0"/>
          <w:numId w:val="1005"/>
        </w:numPr>
      </w:pPr>
      <w:r>
        <w:t xml:space="preserve">Multi-factor authentication required</w:t>
      </w:r>
    </w:p>
    <w:p>
      <w:pPr>
        <w:pStyle w:val="Compact"/>
        <w:numPr>
          <w:ilvl w:val="0"/>
          <w:numId w:val="1005"/>
        </w:numPr>
      </w:pPr>
      <w:r>
        <w:t xml:space="preserve">Least privilege access</w:t>
      </w:r>
    </w:p>
    <w:p>
      <w:pPr>
        <w:pStyle w:val="Compact"/>
        <w:numPr>
          <w:ilvl w:val="0"/>
          <w:numId w:val="1005"/>
        </w:numPr>
      </w:pPr>
      <w:r>
        <w:t xml:space="preserve">Time-limited access when possible</w:t>
      </w:r>
    </w:p>
    <w:p>
      <w:pPr>
        <w:pStyle w:val="Compact"/>
        <w:numPr>
          <w:ilvl w:val="0"/>
          <w:numId w:val="1005"/>
        </w:numPr>
      </w:pPr>
      <w:r>
        <w:t xml:space="preserve">Regular access reviews</w:t>
      </w:r>
    </w:p>
    <w:bookmarkEnd w:id="19"/>
    <w:bookmarkStart w:id="20" w:name="access-approval"/>
    <w:p>
      <w:pPr>
        <w:pStyle w:val="Heading3"/>
      </w:pPr>
      <w:r>
        <w:t xml:space="preserve">5.2 Access Approval</w:t>
      </w:r>
    </w:p>
    <w:p>
      <w:pPr>
        <w:pStyle w:val="Compact"/>
        <w:numPr>
          <w:ilvl w:val="0"/>
          <w:numId w:val="1006"/>
        </w:numPr>
      </w:pPr>
      <w:r>
        <w:t xml:space="preserve">Business justification required</w:t>
      </w:r>
    </w:p>
    <w:p>
      <w:pPr>
        <w:pStyle w:val="Compact"/>
        <w:numPr>
          <w:ilvl w:val="0"/>
          <w:numId w:val="1006"/>
        </w:numPr>
      </w:pPr>
      <w:r>
        <w:t xml:space="preserve">Data owner approval</w:t>
      </w:r>
    </w:p>
    <w:p>
      <w:pPr>
        <w:pStyle w:val="Compact"/>
        <w:numPr>
          <w:ilvl w:val="0"/>
          <w:numId w:val="1006"/>
        </w:numPr>
      </w:pPr>
      <w:r>
        <w:t xml:space="preserve">Security team approval</w:t>
      </w:r>
    </w:p>
    <w:p>
      <w:pPr>
        <w:pStyle w:val="Compact"/>
        <w:numPr>
          <w:ilvl w:val="0"/>
          <w:numId w:val="1006"/>
        </w:numPr>
      </w:pPr>
      <w:r>
        <w:t xml:space="preserve">Management approval for critical access</w:t>
      </w:r>
    </w:p>
    <w:bookmarkEnd w:id="20"/>
    <w:bookmarkStart w:id="21" w:name="access-monitoring"/>
    <w:p>
      <w:pPr>
        <w:pStyle w:val="Heading3"/>
      </w:pPr>
      <w:r>
        <w:t xml:space="preserve">5.3 Access Monitoring</w:t>
      </w:r>
    </w:p>
    <w:p>
      <w:pPr>
        <w:pStyle w:val="Compact"/>
        <w:numPr>
          <w:ilvl w:val="0"/>
          <w:numId w:val="1007"/>
        </w:numPr>
      </w:pPr>
      <w:r>
        <w:t xml:space="preserve">All vendor access logged</w:t>
      </w:r>
    </w:p>
    <w:p>
      <w:pPr>
        <w:pStyle w:val="Compact"/>
        <w:numPr>
          <w:ilvl w:val="0"/>
          <w:numId w:val="1007"/>
        </w:numPr>
      </w:pPr>
      <w:r>
        <w:t xml:space="preserve">Regular access reviews (quarterly)</w:t>
      </w:r>
    </w:p>
    <w:p>
      <w:pPr>
        <w:pStyle w:val="Compact"/>
        <w:numPr>
          <w:ilvl w:val="0"/>
          <w:numId w:val="1007"/>
        </w:numPr>
      </w:pPr>
      <w:r>
        <w:t xml:space="preserve">Monitoring for unusual activity</w:t>
      </w:r>
    </w:p>
    <w:p>
      <w:pPr>
        <w:pStyle w:val="Compact"/>
        <w:numPr>
          <w:ilvl w:val="0"/>
          <w:numId w:val="1007"/>
        </w:numPr>
      </w:pPr>
      <w:r>
        <w:t xml:space="preserve">Immediate revocation upon contract termination</w:t>
      </w:r>
    </w:p>
    <w:bookmarkEnd w:id="21"/>
    <w:bookmarkEnd w:id="22"/>
    <w:bookmarkStart w:id="26" w:name="ongoing-vendor-management"/>
    <w:p>
      <w:pPr>
        <w:pStyle w:val="Heading2"/>
      </w:pPr>
      <w:r>
        <w:t xml:space="preserve">6. Ongoing Vendor Management</w:t>
      </w:r>
    </w:p>
    <w:bookmarkStart w:id="23" w:name="regular-reviews"/>
    <w:p>
      <w:pPr>
        <w:pStyle w:val="Heading3"/>
      </w:pPr>
      <w:r>
        <w:t xml:space="preserve">6.1 Regular Reviews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 Vendors:</w:t>
      </w:r>
      <w:r>
        <w:t xml:space="preserve"> </w:t>
      </w:r>
      <w:r>
        <w:t xml:space="preserve">Annual security assessment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 Vendors:</w:t>
      </w:r>
      <w:r>
        <w:t xml:space="preserve"> </w:t>
      </w:r>
      <w:r>
        <w:t xml:space="preserve">Biennial security assessment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 Vendors:</w:t>
      </w:r>
      <w:r>
        <w:t xml:space="preserve"> </w:t>
      </w:r>
      <w:r>
        <w:t xml:space="preserve">Quarterly access reviews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 Vendors:</w:t>
      </w:r>
      <w:r>
        <w:t xml:space="preserve"> </w:t>
      </w:r>
      <w:r>
        <w:t xml:space="preserve">Annual contract review</w:t>
      </w:r>
    </w:p>
    <w:bookmarkEnd w:id="23"/>
    <w:bookmarkStart w:id="24" w:name="security-monitoring"/>
    <w:p>
      <w:pPr>
        <w:pStyle w:val="Heading3"/>
      </w:pPr>
      <w:r>
        <w:t xml:space="preserve">6.2 Security Monitoring</w:t>
      </w:r>
    </w:p>
    <w:p>
      <w:pPr>
        <w:pStyle w:val="Compact"/>
        <w:numPr>
          <w:ilvl w:val="0"/>
          <w:numId w:val="1009"/>
        </w:numPr>
      </w:pPr>
      <w:r>
        <w:t xml:space="preserve">Monitor vendor security incidents</w:t>
      </w:r>
    </w:p>
    <w:p>
      <w:pPr>
        <w:pStyle w:val="Compact"/>
        <w:numPr>
          <w:ilvl w:val="0"/>
          <w:numId w:val="1009"/>
        </w:numPr>
      </w:pPr>
      <w:r>
        <w:t xml:space="preserve">Review vendor security updates</w:t>
      </w:r>
    </w:p>
    <w:p>
      <w:pPr>
        <w:pStyle w:val="Compact"/>
        <w:numPr>
          <w:ilvl w:val="0"/>
          <w:numId w:val="1009"/>
        </w:numPr>
      </w:pPr>
      <w:r>
        <w:t xml:space="preserve">Assess vendor security posture changes</w:t>
      </w:r>
    </w:p>
    <w:p>
      <w:pPr>
        <w:pStyle w:val="Compact"/>
        <w:numPr>
          <w:ilvl w:val="0"/>
          <w:numId w:val="1009"/>
        </w:numPr>
      </w:pPr>
      <w:r>
        <w:t xml:space="preserve">Review vendor compliance status</w:t>
      </w:r>
    </w:p>
    <w:bookmarkEnd w:id="24"/>
    <w:bookmarkStart w:id="25" w:name="performance-monitoring"/>
    <w:p>
      <w:pPr>
        <w:pStyle w:val="Heading3"/>
      </w:pPr>
      <w:r>
        <w:t xml:space="preserve">6.3 Performance Monitoring</w:t>
      </w:r>
    </w:p>
    <w:p>
      <w:pPr>
        <w:pStyle w:val="Compact"/>
        <w:numPr>
          <w:ilvl w:val="0"/>
          <w:numId w:val="1010"/>
        </w:numPr>
      </w:pPr>
      <w:r>
        <w:t xml:space="preserve">Service level agreement (SLA) monitoring</w:t>
      </w:r>
    </w:p>
    <w:p>
      <w:pPr>
        <w:pStyle w:val="Compact"/>
        <w:numPr>
          <w:ilvl w:val="0"/>
          <w:numId w:val="1010"/>
        </w:numPr>
      </w:pPr>
      <w:r>
        <w:t xml:space="preserve">Security incident tracking</w:t>
      </w:r>
    </w:p>
    <w:p>
      <w:pPr>
        <w:pStyle w:val="Compact"/>
        <w:numPr>
          <w:ilvl w:val="0"/>
          <w:numId w:val="1010"/>
        </w:numPr>
      </w:pPr>
      <w:r>
        <w:t xml:space="preserve">Compliance status monitoring</w:t>
      </w:r>
    </w:p>
    <w:p>
      <w:pPr>
        <w:pStyle w:val="Compact"/>
        <w:numPr>
          <w:ilvl w:val="0"/>
          <w:numId w:val="1010"/>
        </w:numPr>
      </w:pPr>
      <w:r>
        <w:t xml:space="preserve">Contract compliance verification</w:t>
      </w:r>
    </w:p>
    <w:bookmarkEnd w:id="25"/>
    <w:bookmarkEnd w:id="26"/>
    <w:bookmarkStart w:id="29" w:name="vendor-incident-response"/>
    <w:p>
      <w:pPr>
        <w:pStyle w:val="Heading2"/>
      </w:pPr>
      <w:r>
        <w:t xml:space="preserve">7. Vendor Incident Response</w:t>
      </w:r>
    </w:p>
    <w:bookmarkStart w:id="27" w:name="vendor-security-incidents"/>
    <w:p>
      <w:pPr>
        <w:pStyle w:val="Heading3"/>
      </w:pPr>
      <w:r>
        <w:t xml:space="preserve">7.1 Vendor Security Incidents</w:t>
      </w:r>
    </w:p>
    <w:p>
      <w:pPr>
        <w:pStyle w:val="Compact"/>
        <w:numPr>
          <w:ilvl w:val="0"/>
          <w:numId w:val="1011"/>
        </w:numPr>
      </w:pPr>
      <w:r>
        <w:t xml:space="preserve">Vendor must notify within 24-72 hours of security incident</w:t>
      </w:r>
    </w:p>
    <w:p>
      <w:pPr>
        <w:pStyle w:val="Compact"/>
        <w:numPr>
          <w:ilvl w:val="0"/>
          <w:numId w:val="1011"/>
        </w:numPr>
      </w:pPr>
      <w:r>
        <w:t xml:space="preserve">Assess impact on EcoMetricx</w:t>
      </w:r>
    </w:p>
    <w:p>
      <w:pPr>
        <w:pStyle w:val="Compact"/>
        <w:numPr>
          <w:ilvl w:val="0"/>
          <w:numId w:val="1011"/>
        </w:numPr>
      </w:pPr>
      <w:r>
        <w:t xml:space="preserve">Coordinate response if needed</w:t>
      </w:r>
    </w:p>
    <w:p>
      <w:pPr>
        <w:pStyle w:val="Compact"/>
        <w:numPr>
          <w:ilvl w:val="0"/>
          <w:numId w:val="1011"/>
        </w:numPr>
      </w:pPr>
      <w:r>
        <w:t xml:space="preserve">Document incident and response</w:t>
      </w:r>
    </w:p>
    <w:bookmarkEnd w:id="27"/>
    <w:bookmarkStart w:id="28" w:name="data-breach-notification"/>
    <w:p>
      <w:pPr>
        <w:pStyle w:val="Heading3"/>
      </w:pPr>
      <w:r>
        <w:t xml:space="preserve">7.2 Data Breach Notification</w:t>
      </w:r>
    </w:p>
    <w:p>
      <w:pPr>
        <w:pStyle w:val="Compact"/>
        <w:numPr>
          <w:ilvl w:val="0"/>
          <w:numId w:val="1012"/>
        </w:numPr>
      </w:pPr>
      <w:r>
        <w:t xml:space="preserve">Vendor must notify within 24-72 hours of data breach</w:t>
      </w:r>
    </w:p>
    <w:p>
      <w:pPr>
        <w:pStyle w:val="Compact"/>
        <w:numPr>
          <w:ilvl w:val="0"/>
          <w:numId w:val="1012"/>
        </w:numPr>
      </w:pPr>
      <w:r>
        <w:t xml:space="preserve">Assess data exposure</w:t>
      </w:r>
    </w:p>
    <w:p>
      <w:pPr>
        <w:pStyle w:val="Compact"/>
        <w:numPr>
          <w:ilvl w:val="0"/>
          <w:numId w:val="1012"/>
        </w:numPr>
      </w:pPr>
      <w:r>
        <w:t xml:space="preserve">Notify affected parties per requirements</w:t>
      </w:r>
    </w:p>
    <w:p>
      <w:pPr>
        <w:pStyle w:val="Compact"/>
        <w:numPr>
          <w:ilvl w:val="0"/>
          <w:numId w:val="1012"/>
        </w:numPr>
      </w:pPr>
      <w:r>
        <w:t xml:space="preserve">Regulatory notification if required</w:t>
      </w:r>
    </w:p>
    <w:bookmarkEnd w:id="28"/>
    <w:bookmarkEnd w:id="29"/>
    <w:bookmarkStart w:id="32" w:name="vendor-offboarding"/>
    <w:p>
      <w:pPr>
        <w:pStyle w:val="Heading2"/>
      </w:pPr>
      <w:r>
        <w:t xml:space="preserve">8. Vendor Offboarding</w:t>
      </w:r>
    </w:p>
    <w:bookmarkStart w:id="30" w:name="termination-procedures"/>
    <w:p>
      <w:pPr>
        <w:pStyle w:val="Heading3"/>
      </w:pPr>
      <w:r>
        <w:t xml:space="preserve">8.1 Termination Procedures</w:t>
      </w:r>
    </w:p>
    <w:p>
      <w:pPr>
        <w:pStyle w:val="Compact"/>
        <w:numPr>
          <w:ilvl w:val="0"/>
          <w:numId w:val="1013"/>
        </w:numPr>
      </w:pPr>
      <w:r>
        <w:t xml:space="preserve">Notify vendor of termination</w:t>
      </w:r>
    </w:p>
    <w:p>
      <w:pPr>
        <w:pStyle w:val="Compact"/>
        <w:numPr>
          <w:ilvl w:val="0"/>
          <w:numId w:val="1013"/>
        </w:numPr>
      </w:pPr>
      <w:r>
        <w:t xml:space="preserve">Revoke all access immediately</w:t>
      </w:r>
    </w:p>
    <w:p>
      <w:pPr>
        <w:pStyle w:val="Compact"/>
        <w:numPr>
          <w:ilvl w:val="0"/>
          <w:numId w:val="1013"/>
        </w:numPr>
      </w:pPr>
      <w:r>
        <w:t xml:space="preserve">Retrieve all EcoMetricx data</w:t>
      </w:r>
    </w:p>
    <w:p>
      <w:pPr>
        <w:pStyle w:val="Compact"/>
        <w:numPr>
          <w:ilvl w:val="0"/>
          <w:numId w:val="1013"/>
        </w:numPr>
      </w:pPr>
      <w:r>
        <w:t xml:space="preserve">Verify data deletion from vendor systems</w:t>
      </w:r>
    </w:p>
    <w:p>
      <w:pPr>
        <w:pStyle w:val="Compact"/>
        <w:numPr>
          <w:ilvl w:val="0"/>
          <w:numId w:val="1013"/>
        </w:numPr>
      </w:pPr>
      <w:r>
        <w:t xml:space="preserve">Obtain certificate of data deletion</w:t>
      </w:r>
    </w:p>
    <w:p>
      <w:pPr>
        <w:pStyle w:val="Compact"/>
        <w:numPr>
          <w:ilvl w:val="0"/>
          <w:numId w:val="1013"/>
        </w:numPr>
      </w:pPr>
      <w:r>
        <w:t xml:space="preserve">Update vendor records</w:t>
      </w:r>
    </w:p>
    <w:bookmarkEnd w:id="30"/>
    <w:bookmarkStart w:id="31" w:name="data-return-and-deletion"/>
    <w:p>
      <w:pPr>
        <w:pStyle w:val="Heading3"/>
      </w:pPr>
      <w:r>
        <w:t xml:space="preserve">8.2 Data Return and Deletion</w:t>
      </w:r>
    </w:p>
    <w:p>
      <w:pPr>
        <w:pStyle w:val="Compact"/>
        <w:numPr>
          <w:ilvl w:val="0"/>
          <w:numId w:val="1014"/>
        </w:numPr>
      </w:pPr>
      <w:r>
        <w:t xml:space="preserve">All data returned in secure format</w:t>
      </w:r>
    </w:p>
    <w:p>
      <w:pPr>
        <w:pStyle w:val="Compact"/>
        <w:numPr>
          <w:ilvl w:val="0"/>
          <w:numId w:val="1014"/>
        </w:numPr>
      </w:pPr>
      <w:r>
        <w:t xml:space="preserve">All data deleted from vendor systems</w:t>
      </w:r>
    </w:p>
    <w:p>
      <w:pPr>
        <w:pStyle w:val="Compact"/>
        <w:numPr>
          <w:ilvl w:val="0"/>
          <w:numId w:val="1014"/>
        </w:numPr>
      </w:pPr>
      <w:r>
        <w:t xml:space="preserve">Certificate of deletion obtained</w:t>
      </w:r>
    </w:p>
    <w:p>
      <w:pPr>
        <w:pStyle w:val="Compact"/>
        <w:numPr>
          <w:ilvl w:val="0"/>
          <w:numId w:val="1014"/>
        </w:numPr>
      </w:pPr>
      <w:r>
        <w:t xml:space="preserve">Verification of deletion completed</w:t>
      </w:r>
    </w:p>
    <w:bookmarkEnd w:id="31"/>
    <w:bookmarkEnd w:id="32"/>
    <w:bookmarkStart w:id="35" w:name="cloud-service-providers"/>
    <w:p>
      <w:pPr>
        <w:pStyle w:val="Heading2"/>
      </w:pPr>
      <w:r>
        <w:t xml:space="preserve">9. Cloud Service Providers</w:t>
      </w:r>
    </w:p>
    <w:bookmarkStart w:id="33" w:name="aws-and-cloud-providers"/>
    <w:p>
      <w:pPr>
        <w:pStyle w:val="Heading3"/>
      </w:pPr>
      <w:r>
        <w:t xml:space="preserve">9.1 AWS and Cloud Providers</w:t>
      </w:r>
    </w:p>
    <w:p>
      <w:pPr>
        <w:pStyle w:val="Compact"/>
        <w:numPr>
          <w:ilvl w:val="0"/>
          <w:numId w:val="1015"/>
        </w:numPr>
      </w:pPr>
      <w:r>
        <w:t xml:space="preserve">Security assessment of cloud provider</w:t>
      </w:r>
    </w:p>
    <w:p>
      <w:pPr>
        <w:pStyle w:val="Compact"/>
        <w:numPr>
          <w:ilvl w:val="0"/>
          <w:numId w:val="1015"/>
        </w:numPr>
      </w:pPr>
      <w:r>
        <w:t xml:space="preserve">Review of cloud provider certifications (SOC 2, ISO 27001)</w:t>
      </w:r>
    </w:p>
    <w:p>
      <w:pPr>
        <w:pStyle w:val="Compact"/>
        <w:numPr>
          <w:ilvl w:val="0"/>
          <w:numId w:val="1015"/>
        </w:numPr>
      </w:pPr>
      <w:r>
        <w:t xml:space="preserve">Shared responsibility model understood</w:t>
      </w:r>
    </w:p>
    <w:p>
      <w:pPr>
        <w:pStyle w:val="Compact"/>
        <w:numPr>
          <w:ilvl w:val="0"/>
          <w:numId w:val="1015"/>
        </w:numPr>
      </w:pPr>
      <w:r>
        <w:t xml:space="preserve">Cloud security controls implemented</w:t>
      </w:r>
    </w:p>
    <w:p>
      <w:pPr>
        <w:pStyle w:val="Compact"/>
        <w:numPr>
          <w:ilvl w:val="0"/>
          <w:numId w:val="1015"/>
        </w:numPr>
      </w:pPr>
      <w:r>
        <w:t xml:space="preserve">Regular security reviews</w:t>
      </w:r>
    </w:p>
    <w:bookmarkEnd w:id="33"/>
    <w:bookmarkStart w:id="34" w:name="saas-providers"/>
    <w:p>
      <w:pPr>
        <w:pStyle w:val="Heading3"/>
      </w:pPr>
      <w:r>
        <w:t xml:space="preserve">9.2 SaaS Providers</w:t>
      </w:r>
    </w:p>
    <w:p>
      <w:pPr>
        <w:pStyle w:val="Compact"/>
        <w:numPr>
          <w:ilvl w:val="0"/>
          <w:numId w:val="1016"/>
        </w:numPr>
      </w:pPr>
      <w:r>
        <w:t xml:space="preserve">Security assessment</w:t>
      </w:r>
    </w:p>
    <w:p>
      <w:pPr>
        <w:pStyle w:val="Compact"/>
        <w:numPr>
          <w:ilvl w:val="0"/>
          <w:numId w:val="1016"/>
        </w:numPr>
      </w:pPr>
      <w:r>
        <w:t xml:space="preserve">Data residency requirements</w:t>
      </w:r>
    </w:p>
    <w:p>
      <w:pPr>
        <w:pStyle w:val="Compact"/>
        <w:numPr>
          <w:ilvl w:val="0"/>
          <w:numId w:val="1016"/>
        </w:numPr>
      </w:pPr>
      <w:r>
        <w:t xml:space="preserve">Data encryption requirements</w:t>
      </w:r>
    </w:p>
    <w:p>
      <w:pPr>
        <w:pStyle w:val="Compact"/>
        <w:numPr>
          <w:ilvl w:val="0"/>
          <w:numId w:val="1016"/>
        </w:numPr>
      </w:pPr>
      <w:r>
        <w:t xml:space="preserve">Access control requirements</w:t>
      </w:r>
    </w:p>
    <w:p>
      <w:pPr>
        <w:pStyle w:val="Compact"/>
        <w:numPr>
          <w:ilvl w:val="0"/>
          <w:numId w:val="1016"/>
        </w:numPr>
      </w:pPr>
      <w:r>
        <w:t xml:space="preserve">Compliance certifications</w:t>
      </w:r>
    </w:p>
    <w:bookmarkEnd w:id="34"/>
    <w:bookmarkEnd w:id="35"/>
    <w:bookmarkStart w:id="38" w:name="compliance-requirements"/>
    <w:p>
      <w:pPr>
        <w:pStyle w:val="Heading2"/>
      </w:pPr>
      <w:r>
        <w:t xml:space="preserve">10. Compliance Requirements</w:t>
      </w:r>
    </w:p>
    <w:bookmarkStart w:id="36" w:name="soc-2-cc3.2"/>
    <w:p>
      <w:pPr>
        <w:pStyle w:val="Heading3"/>
      </w:pPr>
      <w:r>
        <w:t xml:space="preserve">10.1 SOC 2 CC3.2</w:t>
      </w:r>
    </w:p>
    <w:p>
      <w:pPr>
        <w:pStyle w:val="Compact"/>
        <w:numPr>
          <w:ilvl w:val="0"/>
          <w:numId w:val="1017"/>
        </w:numPr>
      </w:pPr>
      <w:r>
        <w:t xml:space="preserve">Vendor management program established</w:t>
      </w:r>
    </w:p>
    <w:p>
      <w:pPr>
        <w:pStyle w:val="Compact"/>
        <w:numPr>
          <w:ilvl w:val="0"/>
          <w:numId w:val="1017"/>
        </w:numPr>
      </w:pPr>
      <w:r>
        <w:t xml:space="preserve">Vendor security assessments conducted</w:t>
      </w:r>
    </w:p>
    <w:p>
      <w:pPr>
        <w:pStyle w:val="Compact"/>
        <w:numPr>
          <w:ilvl w:val="0"/>
          <w:numId w:val="1017"/>
        </w:numPr>
      </w:pPr>
      <w:r>
        <w:t xml:space="preserve">Vendor contracts include security requirements</w:t>
      </w:r>
    </w:p>
    <w:p>
      <w:pPr>
        <w:pStyle w:val="Compact"/>
        <w:numPr>
          <w:ilvl w:val="0"/>
          <w:numId w:val="1017"/>
        </w:numPr>
      </w:pPr>
      <w:r>
        <w:t xml:space="preserve">Ongoing vendor monitoring</w:t>
      </w:r>
    </w:p>
    <w:bookmarkEnd w:id="36"/>
    <w:bookmarkStart w:id="37" w:name="regulatory-requirements"/>
    <w:p>
      <w:pPr>
        <w:pStyle w:val="Heading3"/>
      </w:pPr>
      <w:r>
        <w:t xml:space="preserve">10.2 Regulatory Requirements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Data processing agreements with vendors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Business associate agreements (BAAs)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Vendor compliance requirements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 Regulations:</w:t>
      </w:r>
      <w:r>
        <w:t xml:space="preserve"> </w:t>
      </w:r>
      <w:r>
        <w:t xml:space="preserve">As applicable</w:t>
      </w:r>
    </w:p>
    <w:bookmarkEnd w:id="37"/>
    <w:bookmarkEnd w:id="38"/>
    <w:bookmarkStart w:id="41" w:name="vendor-risk-management"/>
    <w:p>
      <w:pPr>
        <w:pStyle w:val="Heading2"/>
      </w:pPr>
      <w:r>
        <w:t xml:space="preserve">11. Vendor Risk Management</w:t>
      </w:r>
    </w:p>
    <w:bookmarkStart w:id="39" w:name="risk-assessment"/>
    <w:p>
      <w:pPr>
        <w:pStyle w:val="Heading3"/>
      </w:pPr>
      <w:r>
        <w:t xml:space="preserve">11.1 Risk Assessment</w:t>
      </w:r>
    </w:p>
    <w:p>
      <w:pPr>
        <w:pStyle w:val="Compact"/>
        <w:numPr>
          <w:ilvl w:val="0"/>
          <w:numId w:val="1019"/>
        </w:numPr>
      </w:pPr>
      <w:r>
        <w:t xml:space="preserve">Assess vendor risk during selection</w:t>
      </w:r>
    </w:p>
    <w:p>
      <w:pPr>
        <w:pStyle w:val="Compact"/>
        <w:numPr>
          <w:ilvl w:val="0"/>
          <w:numId w:val="1019"/>
        </w:numPr>
      </w:pPr>
      <w:r>
        <w:t xml:space="preserve">Ongoing risk assessment</w:t>
      </w:r>
    </w:p>
    <w:p>
      <w:pPr>
        <w:pStyle w:val="Compact"/>
        <w:numPr>
          <w:ilvl w:val="0"/>
          <w:numId w:val="1019"/>
        </w:numPr>
      </w:pPr>
      <w:r>
        <w:t xml:space="preserve">Risk-based vendor management</w:t>
      </w:r>
    </w:p>
    <w:p>
      <w:pPr>
        <w:pStyle w:val="Compact"/>
        <w:numPr>
          <w:ilvl w:val="0"/>
          <w:numId w:val="1019"/>
        </w:numPr>
      </w:pPr>
      <w:r>
        <w:t xml:space="preserve">Risk mitigation strategies</w:t>
      </w:r>
    </w:p>
    <w:bookmarkEnd w:id="39"/>
    <w:bookmarkStart w:id="40" w:name="risk-mitigation"/>
    <w:p>
      <w:pPr>
        <w:pStyle w:val="Heading3"/>
      </w:pPr>
      <w:r>
        <w:t xml:space="preserve">11.2 Risk Mitigation</w:t>
      </w:r>
    </w:p>
    <w:p>
      <w:pPr>
        <w:pStyle w:val="Compact"/>
        <w:numPr>
          <w:ilvl w:val="0"/>
          <w:numId w:val="1020"/>
        </w:numPr>
      </w:pPr>
      <w:r>
        <w:t xml:space="preserve">Security requirements in contracts</w:t>
      </w:r>
    </w:p>
    <w:p>
      <w:pPr>
        <w:pStyle w:val="Compact"/>
        <w:numPr>
          <w:ilvl w:val="0"/>
          <w:numId w:val="1020"/>
        </w:numPr>
      </w:pPr>
      <w:r>
        <w:t xml:space="preserve">Regular security assessments</w:t>
      </w:r>
    </w:p>
    <w:p>
      <w:pPr>
        <w:pStyle w:val="Compact"/>
        <w:numPr>
          <w:ilvl w:val="0"/>
          <w:numId w:val="1020"/>
        </w:numPr>
      </w:pPr>
      <w:r>
        <w:t xml:space="preserve">Access controls and monitoring</w:t>
      </w:r>
    </w:p>
    <w:p>
      <w:pPr>
        <w:pStyle w:val="Compact"/>
        <w:numPr>
          <w:ilvl w:val="0"/>
          <w:numId w:val="1020"/>
        </w:numPr>
      </w:pPr>
      <w:r>
        <w:t xml:space="preserve">Incident response coordination</w:t>
      </w:r>
    </w:p>
    <w:p>
      <w:pPr>
        <w:pStyle w:val="Compact"/>
        <w:numPr>
          <w:ilvl w:val="0"/>
          <w:numId w:val="1020"/>
        </w:numPr>
      </w:pPr>
      <w:r>
        <w:t xml:space="preserve">Business continuity planning</w:t>
      </w:r>
    </w:p>
    <w:bookmarkEnd w:id="40"/>
    <w:bookmarkEnd w:id="41"/>
    <w:bookmarkStart w:id="44" w:name="documentation-and-records"/>
    <w:p>
      <w:pPr>
        <w:pStyle w:val="Heading2"/>
      </w:pPr>
      <w:r>
        <w:t xml:space="preserve">12. Documentation and Records</w:t>
      </w:r>
    </w:p>
    <w:bookmarkStart w:id="42" w:name="vendor-records"/>
    <w:p>
      <w:pPr>
        <w:pStyle w:val="Heading3"/>
      </w:pPr>
      <w:r>
        <w:t xml:space="preserve">12.1 Vendor Records</w:t>
      </w:r>
    </w:p>
    <w:p>
      <w:pPr>
        <w:pStyle w:val="Compact"/>
        <w:numPr>
          <w:ilvl w:val="0"/>
          <w:numId w:val="1021"/>
        </w:numPr>
      </w:pPr>
      <w:r>
        <w:t xml:space="preserve">Vendor inventory</w:t>
      </w:r>
    </w:p>
    <w:p>
      <w:pPr>
        <w:pStyle w:val="Compact"/>
        <w:numPr>
          <w:ilvl w:val="0"/>
          <w:numId w:val="1021"/>
        </w:numPr>
      </w:pPr>
      <w:r>
        <w:t xml:space="preserve">Security assessments</w:t>
      </w:r>
    </w:p>
    <w:p>
      <w:pPr>
        <w:pStyle w:val="Compact"/>
        <w:numPr>
          <w:ilvl w:val="0"/>
          <w:numId w:val="1021"/>
        </w:numPr>
      </w:pPr>
      <w:r>
        <w:t xml:space="preserve">Contracts and agreements</w:t>
      </w:r>
    </w:p>
    <w:p>
      <w:pPr>
        <w:pStyle w:val="Compact"/>
        <w:numPr>
          <w:ilvl w:val="0"/>
          <w:numId w:val="1021"/>
        </w:numPr>
      </w:pPr>
      <w:r>
        <w:t xml:space="preserve">Access records</w:t>
      </w:r>
    </w:p>
    <w:p>
      <w:pPr>
        <w:pStyle w:val="Compact"/>
        <w:numPr>
          <w:ilvl w:val="0"/>
          <w:numId w:val="1021"/>
        </w:numPr>
      </w:pPr>
      <w:r>
        <w:t xml:space="preserve">Incident reports</w:t>
      </w:r>
    </w:p>
    <w:p>
      <w:pPr>
        <w:pStyle w:val="Compact"/>
        <w:numPr>
          <w:ilvl w:val="0"/>
          <w:numId w:val="1021"/>
        </w:numPr>
      </w:pPr>
      <w:r>
        <w:t xml:space="preserve">Review documentation</w:t>
      </w:r>
    </w:p>
    <w:bookmarkEnd w:id="42"/>
    <w:bookmarkStart w:id="43" w:name="record-retention"/>
    <w:p>
      <w:pPr>
        <w:pStyle w:val="Heading3"/>
      </w:pPr>
      <w:r>
        <w:t xml:space="preserve">12.2 Record Retention</w:t>
      </w:r>
    </w:p>
    <w:p>
      <w:pPr>
        <w:pStyle w:val="Compact"/>
        <w:numPr>
          <w:ilvl w:val="0"/>
          <w:numId w:val="1022"/>
        </w:numPr>
      </w:pPr>
      <w:r>
        <w:t xml:space="preserve">Vendor records retained per retention policy</w:t>
      </w:r>
    </w:p>
    <w:p>
      <w:pPr>
        <w:pStyle w:val="Compact"/>
        <w:numPr>
          <w:ilvl w:val="0"/>
          <w:numId w:val="1022"/>
        </w:numPr>
      </w:pPr>
      <w:r>
        <w:t xml:space="preserve">Security assessments: 7 years</w:t>
      </w:r>
    </w:p>
    <w:p>
      <w:pPr>
        <w:pStyle w:val="Compact"/>
        <w:numPr>
          <w:ilvl w:val="0"/>
          <w:numId w:val="1022"/>
        </w:numPr>
      </w:pPr>
      <w:r>
        <w:t xml:space="preserve">Contracts: Duration of contract + 7 years</w:t>
      </w:r>
    </w:p>
    <w:p>
      <w:pPr>
        <w:pStyle w:val="Compact"/>
        <w:numPr>
          <w:ilvl w:val="0"/>
          <w:numId w:val="1022"/>
        </w:numPr>
      </w:pPr>
      <w:r>
        <w:t xml:space="preserve">Incident reports: 7 years</w:t>
      </w:r>
    </w:p>
    <w:bookmarkEnd w:id="43"/>
    <w:bookmarkEnd w:id="44"/>
    <w:bookmarkStart w:id="48" w:name="responsibilities"/>
    <w:p>
      <w:pPr>
        <w:pStyle w:val="Heading2"/>
      </w:pPr>
      <w:r>
        <w:t xml:space="preserve">13. Responsibilities</w:t>
      </w:r>
    </w:p>
    <w:bookmarkStart w:id="45" w:name="procurementvendor-management"/>
    <w:p>
      <w:pPr>
        <w:pStyle w:val="Heading3"/>
      </w:pPr>
      <w:r>
        <w:t xml:space="preserve">13.1 Procurement/Vendor Management</w:t>
      </w:r>
    </w:p>
    <w:p>
      <w:pPr>
        <w:pStyle w:val="Compact"/>
        <w:numPr>
          <w:ilvl w:val="0"/>
          <w:numId w:val="1023"/>
        </w:numPr>
      </w:pPr>
      <w:r>
        <w:t xml:space="preserve">Vendor selection and onboarding</w:t>
      </w:r>
    </w:p>
    <w:p>
      <w:pPr>
        <w:pStyle w:val="Compact"/>
        <w:numPr>
          <w:ilvl w:val="0"/>
          <w:numId w:val="1023"/>
        </w:numPr>
      </w:pPr>
      <w:r>
        <w:t xml:space="preserve">Contract management</w:t>
      </w:r>
    </w:p>
    <w:p>
      <w:pPr>
        <w:pStyle w:val="Compact"/>
        <w:numPr>
          <w:ilvl w:val="0"/>
          <w:numId w:val="1023"/>
        </w:numPr>
      </w:pPr>
      <w:r>
        <w:t xml:space="preserve">Vendor relationship management</w:t>
      </w:r>
    </w:p>
    <w:p>
      <w:pPr>
        <w:pStyle w:val="Compact"/>
        <w:numPr>
          <w:ilvl w:val="0"/>
          <w:numId w:val="1023"/>
        </w:numPr>
      </w:pPr>
      <w:r>
        <w:t xml:space="preserve">Performance monitoring</w:t>
      </w:r>
    </w:p>
    <w:bookmarkEnd w:id="45"/>
    <w:bookmarkStart w:id="46" w:name="information-security-team"/>
    <w:p>
      <w:pPr>
        <w:pStyle w:val="Heading3"/>
      </w:pPr>
      <w:r>
        <w:t xml:space="preserve">13.2 Information Security Team</w:t>
      </w:r>
    </w:p>
    <w:p>
      <w:pPr>
        <w:pStyle w:val="Compact"/>
        <w:numPr>
          <w:ilvl w:val="0"/>
          <w:numId w:val="1024"/>
        </w:numPr>
      </w:pPr>
      <w:r>
        <w:t xml:space="preserve">Security assessments</w:t>
      </w:r>
    </w:p>
    <w:p>
      <w:pPr>
        <w:pStyle w:val="Compact"/>
        <w:numPr>
          <w:ilvl w:val="0"/>
          <w:numId w:val="1024"/>
        </w:numPr>
      </w:pPr>
      <w:r>
        <w:t xml:space="preserve">Security requirement definition</w:t>
      </w:r>
    </w:p>
    <w:p>
      <w:pPr>
        <w:pStyle w:val="Compact"/>
        <w:numPr>
          <w:ilvl w:val="0"/>
          <w:numId w:val="1024"/>
        </w:numPr>
      </w:pPr>
      <w:r>
        <w:t xml:space="preserve">Ongoing security monitoring</w:t>
      </w:r>
    </w:p>
    <w:p>
      <w:pPr>
        <w:pStyle w:val="Compact"/>
        <w:numPr>
          <w:ilvl w:val="0"/>
          <w:numId w:val="1024"/>
        </w:numPr>
      </w:pPr>
      <w:r>
        <w:t xml:space="preserve">Incident coordination</w:t>
      </w:r>
    </w:p>
    <w:bookmarkEnd w:id="46"/>
    <w:bookmarkStart w:id="47" w:name="data-owners"/>
    <w:p>
      <w:pPr>
        <w:pStyle w:val="Heading3"/>
      </w:pPr>
      <w:r>
        <w:t xml:space="preserve">13.3 Data Owners</w:t>
      </w:r>
    </w:p>
    <w:p>
      <w:pPr>
        <w:pStyle w:val="Compact"/>
        <w:numPr>
          <w:ilvl w:val="0"/>
          <w:numId w:val="1025"/>
        </w:numPr>
      </w:pPr>
      <w:r>
        <w:t xml:space="preserve">Data classification</w:t>
      </w:r>
    </w:p>
    <w:p>
      <w:pPr>
        <w:pStyle w:val="Compact"/>
        <w:numPr>
          <w:ilvl w:val="0"/>
          <w:numId w:val="1025"/>
        </w:numPr>
      </w:pPr>
      <w:r>
        <w:t xml:space="preserve">Access approval</w:t>
      </w:r>
    </w:p>
    <w:p>
      <w:pPr>
        <w:pStyle w:val="Compact"/>
        <w:numPr>
          <w:ilvl w:val="0"/>
          <w:numId w:val="1025"/>
        </w:numPr>
      </w:pPr>
      <w:r>
        <w:t xml:space="preserve">Data protection requirements</w:t>
      </w:r>
    </w:p>
    <w:p>
      <w:pPr>
        <w:pStyle w:val="Compact"/>
        <w:numPr>
          <w:ilvl w:val="0"/>
          <w:numId w:val="1025"/>
        </w:numPr>
      </w:pPr>
      <w:r>
        <w:t xml:space="preserve">Data return/deletion verification</w:t>
      </w:r>
    </w:p>
    <w:bookmarkEnd w:id="47"/>
    <w:bookmarkEnd w:id="48"/>
    <w:bookmarkStart w:id="49" w:name="training"/>
    <w:p>
      <w:pPr>
        <w:pStyle w:val="Heading2"/>
      </w:pPr>
      <w:r>
        <w:t xml:space="preserve">14. Training</w:t>
      </w:r>
    </w:p>
    <w:p>
      <w:pPr>
        <w:pStyle w:val="Compact"/>
        <w:numPr>
          <w:ilvl w:val="0"/>
          <w:numId w:val="1026"/>
        </w:numPr>
      </w:pPr>
      <w:r>
        <w:t xml:space="preserve">Vendor management training for relevant personnel</w:t>
      </w:r>
    </w:p>
    <w:p>
      <w:pPr>
        <w:pStyle w:val="Compact"/>
        <w:numPr>
          <w:ilvl w:val="0"/>
          <w:numId w:val="1026"/>
        </w:numPr>
      </w:pPr>
      <w:r>
        <w:t xml:space="preserve">Security assessment training</w:t>
      </w:r>
    </w:p>
    <w:p>
      <w:pPr>
        <w:pStyle w:val="Compact"/>
        <w:numPr>
          <w:ilvl w:val="0"/>
          <w:numId w:val="1026"/>
        </w:numPr>
      </w:pPr>
      <w:r>
        <w:t xml:space="preserve">Contract negotiation training</w:t>
      </w:r>
    </w:p>
    <w:p>
      <w:pPr>
        <w:pStyle w:val="Compact"/>
        <w:numPr>
          <w:ilvl w:val="0"/>
          <w:numId w:val="1026"/>
        </w:numPr>
      </w:pPr>
      <w:r>
        <w:t xml:space="preserve">Annual refresher training</w:t>
      </w:r>
    </w:p>
    <w:bookmarkEnd w:id="49"/>
    <w:bookmarkStart w:id="50" w:name="policy-violations"/>
    <w:p>
      <w:pPr>
        <w:pStyle w:val="Heading2"/>
      </w:pPr>
      <w:r>
        <w:t xml:space="preserve">15. Policy Violations</w:t>
      </w:r>
    </w:p>
    <w:p>
      <w:pPr>
        <w:pStyle w:val="FirstParagraph"/>
      </w:pPr>
      <w:r>
        <w:t xml:space="preserve">Non-compliance may result in:</w:t>
      </w:r>
      <w:r>
        <w:t xml:space="preserve"> </w:t>
      </w:r>
      <w:r>
        <w:t xml:space="preserve">- Vendor contract termination</w:t>
      </w:r>
      <w:r>
        <w:t xml:space="preserve"> </w:t>
      </w:r>
      <w:r>
        <w:t xml:space="preserve">- Access revocation</w:t>
      </w:r>
      <w:r>
        <w:t xml:space="preserve"> </w:t>
      </w:r>
      <w:r>
        <w:t xml:space="preserve">- Legal action</w:t>
      </w:r>
      <w:r>
        <w:t xml:space="preserve"> </w:t>
      </w:r>
      <w:r>
        <w:t xml:space="preserve">- Disciplinary action for employees</w:t>
      </w:r>
    </w:p>
    <w:bookmarkEnd w:id="50"/>
    <w:bookmarkStart w:id="51" w:name="related-policies"/>
    <w:p>
      <w:pPr>
        <w:pStyle w:val="Heading2"/>
      </w:pPr>
      <w:r>
        <w:t xml:space="preserve">16. Related Policies</w:t>
      </w:r>
    </w:p>
    <w:p>
      <w:pPr>
        <w:pStyle w:val="Compact"/>
        <w:numPr>
          <w:ilvl w:val="0"/>
          <w:numId w:val="1027"/>
        </w:numPr>
      </w:pPr>
      <w:r>
        <w:t xml:space="preserve">Information Security Policy</w:t>
      </w:r>
    </w:p>
    <w:p>
      <w:pPr>
        <w:pStyle w:val="Compact"/>
        <w:numPr>
          <w:ilvl w:val="0"/>
          <w:numId w:val="1027"/>
        </w:numPr>
      </w:pPr>
      <w:r>
        <w:t xml:space="preserve">Access Control Policy</w:t>
      </w:r>
    </w:p>
    <w:p>
      <w:pPr>
        <w:pStyle w:val="Compact"/>
        <w:numPr>
          <w:ilvl w:val="0"/>
          <w:numId w:val="1027"/>
        </w:numPr>
      </w:pPr>
      <w:r>
        <w:t xml:space="preserve">Data Classification and Handling Policy</w:t>
      </w:r>
    </w:p>
    <w:p>
      <w:pPr>
        <w:pStyle w:val="Compact"/>
        <w:numPr>
          <w:ilvl w:val="0"/>
          <w:numId w:val="1027"/>
        </w:numPr>
      </w:pPr>
      <w:r>
        <w:t xml:space="preserve">Incident Response Policy</w:t>
      </w:r>
    </w:p>
    <w:p>
      <w:pPr>
        <w:pStyle w:val="Compact"/>
        <w:numPr>
          <w:ilvl w:val="0"/>
          <w:numId w:val="1027"/>
        </w:numPr>
      </w:pPr>
      <w:r>
        <w:t xml:space="preserve">Privacy Management Policy</w:t>
      </w:r>
    </w:p>
    <w:bookmarkEnd w:id="51"/>
    <w:bookmarkStart w:id="52" w:name="review-cycle"/>
    <w:p>
      <w:pPr>
        <w:pStyle w:val="Heading2"/>
      </w:pPr>
      <w:r>
        <w:t xml:space="preserve">17. Review Cycle</w:t>
      </w:r>
    </w:p>
    <w:p>
      <w:pPr>
        <w:pStyle w:val="FirstParagraph"/>
      </w:pPr>
      <w:r>
        <w:t xml:space="preserve">This policy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major vendor incidents</w:t>
      </w:r>
      <w:r>
        <w:t xml:space="preserve"> </w:t>
      </w:r>
      <w:r>
        <w:t xml:space="preserve">- Following regulatory changes</w:t>
      </w:r>
      <w:r>
        <w:t xml:space="preserve"> </w:t>
      </w:r>
      <w:r>
        <w:t xml:space="preserve">- Following organizational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involved in vendor management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2025-12-02T21:00:30Z</dcterms:created>
  <dcterms:modified xsi:type="dcterms:W3CDTF">2025-12-02T21:00:30Z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