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d71693a89e4a1be277a9336b6fe4824501ee865"/>
    <w:p>
      <w:pPr>
        <w:pStyle w:val="Heading1"/>
      </w:pPr>
      <w:r>
        <w:t xml:space="preserve">Standard Operating Procedure: Documentation Review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Every 6 months (as specified in POAM)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Standard Operating Procedure (SOP) establishes the process for reviewing and updating EcoMetricx security and compliance documentation to ensure policies, procedures, and plans remain current, accurate, and effective.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SOP applies to:</w:t>
      </w:r>
      <w:r>
        <w:t xml:space="preserve"> </w:t>
      </w:r>
      <w:r>
        <w:t xml:space="preserve">- All security policies</w:t>
      </w:r>
      <w:r>
        <w:t xml:space="preserve"> </w:t>
      </w:r>
      <w:r>
        <w:t xml:space="preserve">- All security procedures</w:t>
      </w:r>
      <w:r>
        <w:t xml:space="preserve"> </w:t>
      </w:r>
      <w:r>
        <w:t xml:space="preserve">- All security plans</w:t>
      </w:r>
      <w:r>
        <w:t xml:space="preserve"> </w:t>
      </w:r>
      <w:r>
        <w:t xml:space="preserve">- All compliance documentation</w:t>
      </w:r>
      <w:r>
        <w:t xml:space="preserve"> </w:t>
      </w:r>
      <w:r>
        <w:t xml:space="preserve">- All related supporting documents</w:t>
      </w:r>
    </w:p>
    <w:bookmarkEnd w:id="10"/>
    <w:bookmarkStart w:id="13" w:name="review-schedule"/>
    <w:p>
      <w:pPr>
        <w:pStyle w:val="Heading2"/>
      </w:pPr>
      <w:r>
        <w:t xml:space="preserve">3. Review Schedule</w:t>
      </w:r>
    </w:p>
    <w:bookmarkStart w:id="11" w:name="standard-review-cycle"/>
    <w:p>
      <w:pPr>
        <w:pStyle w:val="Heading3"/>
      </w:pPr>
      <w:r>
        <w:t xml:space="preserve">3.1 Standard Review Cycle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Policies:</w:t>
      </w:r>
      <w:r>
        <w:t xml:space="preserve"> </w:t>
      </w:r>
      <w:r>
        <w:t xml:space="preserve">Annually (minimum)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Procedures:</w:t>
      </w:r>
      <w:r>
        <w:t xml:space="preserve"> </w:t>
      </w:r>
      <w:r>
        <w:t xml:space="preserve">Annually (minimum)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Plans:</w:t>
      </w:r>
      <w:r>
        <w:t xml:space="preserve"> </w:t>
      </w:r>
      <w:r>
        <w:t xml:space="preserve">Annually (minimum)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SOP:</w:t>
      </w:r>
      <w:r>
        <w:t xml:space="preserve"> </w:t>
      </w:r>
      <w:r>
        <w:t xml:space="preserve">Every 6 months (as per POAM requirement)</w:t>
      </w:r>
    </w:p>
    <w:bookmarkEnd w:id="11"/>
    <w:bookmarkStart w:id="12" w:name="triggered-reviews"/>
    <w:p>
      <w:pPr>
        <w:pStyle w:val="Heading3"/>
      </w:pPr>
      <w:r>
        <w:t xml:space="preserve">3.2 Triggered Reviews</w:t>
      </w:r>
    </w:p>
    <w:p>
      <w:pPr>
        <w:pStyle w:val="FirstParagraph"/>
      </w:pPr>
      <w:r>
        <w:t xml:space="preserve">Documentation must be reviewed immediately following:</w:t>
      </w:r>
      <w:r>
        <w:t xml:space="preserve"> </w:t>
      </w:r>
      <w:r>
        <w:t xml:space="preserve">- Major organizational changes</w:t>
      </w:r>
      <w:r>
        <w:t xml:space="preserve"> </w:t>
      </w:r>
      <w:r>
        <w:t xml:space="preserve">- Regulatory changes</w:t>
      </w:r>
      <w:r>
        <w:t xml:space="preserve"> </w:t>
      </w:r>
      <w:r>
        <w:t xml:space="preserve">- Security incidents</w:t>
      </w:r>
      <w:r>
        <w:t xml:space="preserve"> </w:t>
      </w:r>
      <w:r>
        <w:t xml:space="preserve">- Technology changes</w:t>
      </w:r>
      <w:r>
        <w:t xml:space="preserve"> </w:t>
      </w:r>
      <w:r>
        <w:t xml:space="preserve">- Audit findings</w:t>
      </w:r>
      <w:r>
        <w:t xml:space="preserve"> </w:t>
      </w:r>
      <w:r>
        <w:t xml:space="preserve">- Policy violations</w:t>
      </w:r>
    </w:p>
    <w:bookmarkEnd w:id="12"/>
    <w:bookmarkEnd w:id="13"/>
    <w:bookmarkStart w:id="18" w:name="review-process"/>
    <w:p>
      <w:pPr>
        <w:pStyle w:val="Heading2"/>
      </w:pPr>
      <w:r>
        <w:t xml:space="preserve">4. Review Process</w:t>
      </w:r>
    </w:p>
    <w:bookmarkStart w:id="14" w:name="review-preparation"/>
    <w:p>
      <w:pPr>
        <w:pStyle w:val="Heading3"/>
      </w:pPr>
      <w:r>
        <w:t xml:space="preserve">4.1 Review Preparation</w:t>
      </w:r>
    </w:p>
    <w:p>
      <w:pPr>
        <w:pStyle w:val="FirstParagraph"/>
      </w:pPr>
      <w:r>
        <w:rPr>
          <w:b/>
          <w:bCs/>
        </w:rPr>
        <w:t xml:space="preserve">Step 1: Identify Documents for Review</w:t>
      </w:r>
      <w:r>
        <w:t xml:space="preserve"> </w:t>
      </w:r>
      <w:r>
        <w:t xml:space="preserve">- Generate list of documents due for review</w:t>
      </w:r>
      <w:r>
        <w:t xml:space="preserve"> </w:t>
      </w:r>
      <w:r>
        <w:t xml:space="preserve">- Identify documents requiring triggered review</w:t>
      </w:r>
      <w:r>
        <w:t xml:space="preserve"> </w:t>
      </w:r>
      <w:r>
        <w:t xml:space="preserve">- Prioritize documents by criticality</w:t>
      </w:r>
      <w:r>
        <w:t xml:space="preserve"> </w:t>
      </w:r>
      <w:r>
        <w:t xml:space="preserve">- Assign review responsibilities</w:t>
      </w:r>
    </w:p>
    <w:p>
      <w:pPr>
        <w:pStyle w:val="BodyText"/>
      </w:pPr>
      <w:r>
        <w:rPr>
          <w:b/>
          <w:bCs/>
        </w:rPr>
        <w:t xml:space="preserve">Step 2: Gather Review Materials</w:t>
      </w:r>
      <w:r>
        <w:t xml:space="preserve"> </w:t>
      </w:r>
      <w:r>
        <w:t xml:space="preserve">- Current document versions</w:t>
      </w:r>
      <w:r>
        <w:t xml:space="preserve"> </w:t>
      </w:r>
      <w:r>
        <w:t xml:space="preserve">- Related policies and procedures</w:t>
      </w:r>
      <w:r>
        <w:t xml:space="preserve"> </w:t>
      </w:r>
      <w:r>
        <w:t xml:space="preserve">- Regulatory requirements</w:t>
      </w:r>
      <w:r>
        <w:t xml:space="preserve"> </w:t>
      </w:r>
      <w:r>
        <w:t xml:space="preserve">- Industry best practices</w:t>
      </w:r>
      <w:r>
        <w:t xml:space="preserve"> </w:t>
      </w:r>
      <w:r>
        <w:t xml:space="preserve">- Recent audit findings</w:t>
      </w:r>
      <w:r>
        <w:t xml:space="preserve"> </w:t>
      </w:r>
      <w:r>
        <w:t xml:space="preserve">- Incident reports</w:t>
      </w:r>
      <w:r>
        <w:t xml:space="preserve"> </w:t>
      </w:r>
      <w:r>
        <w:t xml:space="preserve">- Technology changes</w:t>
      </w:r>
    </w:p>
    <w:p>
      <w:pPr>
        <w:pStyle w:val="BodyText"/>
      </w:pPr>
      <w:r>
        <w:rPr>
          <w:b/>
          <w:bCs/>
        </w:rPr>
        <w:t xml:space="preserve">Step 3: Notify Reviewers</w:t>
      </w:r>
      <w:r>
        <w:t xml:space="preserve"> </w:t>
      </w:r>
      <w:r>
        <w:t xml:space="preserve">- Notify document owners</w:t>
      </w:r>
      <w:r>
        <w:t xml:space="preserve"> </w:t>
      </w:r>
      <w:r>
        <w:t xml:space="preserve">- Notify subject matter experts</w:t>
      </w:r>
      <w:r>
        <w:t xml:space="preserve"> </w:t>
      </w:r>
      <w:r>
        <w:t xml:space="preserve">- Schedule review meetings if needed</w:t>
      </w:r>
      <w:r>
        <w:t xml:space="preserve"> </w:t>
      </w:r>
      <w:r>
        <w:t xml:space="preserve">- Set review deadlines</w:t>
      </w:r>
    </w:p>
    <w:bookmarkEnd w:id="14"/>
    <w:bookmarkStart w:id="15" w:name="document-review"/>
    <w:p>
      <w:pPr>
        <w:pStyle w:val="Heading3"/>
      </w:pPr>
      <w:r>
        <w:t xml:space="preserve">4.2 Document Review</w:t>
      </w:r>
    </w:p>
    <w:p>
      <w:pPr>
        <w:pStyle w:val="FirstParagraph"/>
      </w:pPr>
      <w:r>
        <w:rPr>
          <w:b/>
          <w:bCs/>
        </w:rPr>
        <w:t xml:space="preserve">Step 4: Content Review</w:t>
      </w:r>
      <w:r>
        <w:t xml:space="preserve"> </w:t>
      </w:r>
      <w:r>
        <w:t xml:space="preserve">- Review document accuracy</w:t>
      </w:r>
      <w:r>
        <w:t xml:space="preserve"> </w:t>
      </w:r>
      <w:r>
        <w:t xml:space="preserve">- Verify completeness</w:t>
      </w:r>
      <w:r>
        <w:t xml:space="preserve"> </w:t>
      </w:r>
      <w:r>
        <w:t xml:space="preserve">- Check for outdated information</w:t>
      </w:r>
      <w:r>
        <w:t xml:space="preserve"> </w:t>
      </w:r>
      <w:r>
        <w:t xml:space="preserve">- Identify gaps or inconsistencies</w:t>
      </w:r>
      <w:r>
        <w:t xml:space="preserve"> </w:t>
      </w:r>
      <w:r>
        <w:t xml:space="preserve">- Assess effectiveness</w:t>
      </w:r>
      <w:r>
        <w:t xml:space="preserve"> </w:t>
      </w:r>
      <w:r>
        <w:t xml:space="preserve">- Review compliance alignment</w:t>
      </w:r>
    </w:p>
    <w:p>
      <w:pPr>
        <w:pStyle w:val="BodyText"/>
      </w:pPr>
      <w:r>
        <w:rPr>
          <w:b/>
          <w:bCs/>
        </w:rPr>
        <w:t xml:space="preserve">Step 5: Regulatory Review</w:t>
      </w:r>
      <w:r>
        <w:t xml:space="preserve"> </w:t>
      </w:r>
      <w:r>
        <w:t xml:space="preserve">- Verify regulatory compliance</w:t>
      </w:r>
      <w:r>
        <w:t xml:space="preserve"> </w:t>
      </w:r>
      <w:r>
        <w:t xml:space="preserve">- Check for regulatory changes</w:t>
      </w:r>
      <w:r>
        <w:t xml:space="preserve"> </w:t>
      </w:r>
      <w:r>
        <w:t xml:space="preserve">- Update compliance references</w:t>
      </w:r>
      <w:r>
        <w:t xml:space="preserve"> </w:t>
      </w:r>
      <w:r>
        <w:t xml:space="preserve">- Ensure audit readiness</w:t>
      </w:r>
    </w:p>
    <w:p>
      <w:pPr>
        <w:pStyle w:val="BodyText"/>
      </w:pPr>
      <w:r>
        <w:rPr>
          <w:b/>
          <w:bCs/>
        </w:rPr>
        <w:t xml:space="preserve">Step 6: Technical Review</w:t>
      </w:r>
      <w:r>
        <w:t xml:space="preserve"> </w:t>
      </w:r>
      <w:r>
        <w:t xml:space="preserve">- Verify technical accuracy</w:t>
      </w:r>
      <w:r>
        <w:t xml:space="preserve"> </w:t>
      </w:r>
      <w:r>
        <w:t xml:space="preserve">- Update technology references</w:t>
      </w:r>
      <w:r>
        <w:t xml:space="preserve"> </w:t>
      </w:r>
      <w:r>
        <w:t xml:space="preserve">- Review system references</w:t>
      </w:r>
      <w:r>
        <w:t xml:space="preserve"> </w:t>
      </w:r>
      <w:r>
        <w:t xml:space="preserve">- Update procedures if needed</w:t>
      </w:r>
    </w:p>
    <w:p>
      <w:pPr>
        <w:pStyle w:val="BodyText"/>
      </w:pPr>
      <w:r>
        <w:rPr>
          <w:b/>
          <w:bCs/>
        </w:rPr>
        <w:t xml:space="preserve">Step 7: Stakeholder Review</w:t>
      </w:r>
      <w:r>
        <w:t xml:space="preserve"> </w:t>
      </w:r>
      <w:r>
        <w:t xml:space="preserve">- Obtain stakeholder input</w:t>
      </w:r>
      <w:r>
        <w:t xml:space="preserve"> </w:t>
      </w:r>
      <w:r>
        <w:t xml:space="preserve">- Review business alignment</w:t>
      </w:r>
      <w:r>
        <w:t xml:space="preserve"> </w:t>
      </w:r>
      <w:r>
        <w:t xml:space="preserve">- Assess operational impact</w:t>
      </w:r>
      <w:r>
        <w:t xml:space="preserve"> </w:t>
      </w:r>
      <w:r>
        <w:t xml:space="preserve">- Gather feedback</w:t>
      </w:r>
    </w:p>
    <w:bookmarkEnd w:id="15"/>
    <w:bookmarkStart w:id="16" w:name="document-updates"/>
    <w:p>
      <w:pPr>
        <w:pStyle w:val="Heading3"/>
      </w:pPr>
      <w:r>
        <w:t xml:space="preserve">4.3 Document Updates</w:t>
      </w:r>
    </w:p>
    <w:p>
      <w:pPr>
        <w:pStyle w:val="FirstParagraph"/>
      </w:pPr>
      <w:r>
        <w:rPr>
          <w:b/>
          <w:bCs/>
        </w:rPr>
        <w:t xml:space="preserve">Step 8: Update Document</w:t>
      </w:r>
      <w:r>
        <w:t xml:space="preserve"> </w:t>
      </w:r>
      <w:r>
        <w:t xml:space="preserve">- Make necessary revisions</w:t>
      </w:r>
      <w:r>
        <w:t xml:space="preserve"> </w:t>
      </w:r>
      <w:r>
        <w:t xml:space="preserve">- Update version number</w:t>
      </w:r>
      <w:r>
        <w:t xml:space="preserve"> </w:t>
      </w:r>
      <w:r>
        <w:t xml:space="preserve">- Update revision date</w:t>
      </w:r>
      <w:r>
        <w:t xml:space="preserve"> </w:t>
      </w:r>
      <w:r>
        <w:t xml:space="preserve">- Update review history</w:t>
      </w:r>
      <w:r>
        <w:t xml:space="preserve"> </w:t>
      </w:r>
      <w:r>
        <w:t xml:space="preserve">- Maintain change log</w:t>
      </w:r>
    </w:p>
    <w:p>
      <w:pPr>
        <w:pStyle w:val="BodyText"/>
      </w:pPr>
      <w:r>
        <w:rPr>
          <w:b/>
          <w:bCs/>
        </w:rPr>
        <w:t xml:space="preserve">Step 9: Review Updates</w:t>
      </w:r>
      <w:r>
        <w:t xml:space="preserve"> </w:t>
      </w:r>
      <w:r>
        <w:t xml:space="preserve">- Review updated content</w:t>
      </w:r>
      <w:r>
        <w:t xml:space="preserve"> </w:t>
      </w:r>
      <w:r>
        <w:t xml:space="preserve">- Verify accuracy</w:t>
      </w:r>
      <w:r>
        <w:t xml:space="preserve"> </w:t>
      </w:r>
      <w:r>
        <w:t xml:space="preserve">- Check formatting</w:t>
      </w:r>
      <w:r>
        <w:t xml:space="preserve"> </w:t>
      </w:r>
      <w:r>
        <w:t xml:space="preserve">- Ensure consistency</w:t>
      </w:r>
    </w:p>
    <w:p>
      <w:pPr>
        <w:pStyle w:val="BodyText"/>
      </w:pPr>
      <w:r>
        <w:rPr>
          <w:b/>
          <w:bCs/>
        </w:rPr>
        <w:t xml:space="preserve">Step 10: Approval</w:t>
      </w:r>
      <w:r>
        <w:t xml:space="preserve"> </w:t>
      </w:r>
      <w:r>
        <w:t xml:space="preserve">- Obtain management approval</w:t>
      </w:r>
      <w:r>
        <w:t xml:space="preserve"> </w:t>
      </w:r>
      <w:r>
        <w:t xml:space="preserve">- Document approval</w:t>
      </w:r>
      <w:r>
        <w:t xml:space="preserve"> </w:t>
      </w:r>
      <w:r>
        <w:t xml:space="preserve">- Update approval records</w:t>
      </w:r>
      <w:r>
        <w:t xml:space="preserve"> </w:t>
      </w:r>
      <w:r>
        <w:t xml:space="preserve">- Set next review date</w:t>
      </w:r>
    </w:p>
    <w:bookmarkEnd w:id="16"/>
    <w:bookmarkStart w:id="17" w:name="distribution-and-communication"/>
    <w:p>
      <w:pPr>
        <w:pStyle w:val="Heading3"/>
      </w:pPr>
      <w:r>
        <w:t xml:space="preserve">4.4 Distribution and Communication</w:t>
      </w:r>
    </w:p>
    <w:p>
      <w:pPr>
        <w:pStyle w:val="FirstParagraph"/>
      </w:pPr>
      <w:r>
        <w:rPr>
          <w:b/>
          <w:bCs/>
        </w:rPr>
        <w:t xml:space="preserve">Step 11: Distribution</w:t>
      </w:r>
      <w:r>
        <w:t xml:space="preserve"> </w:t>
      </w:r>
      <w:r>
        <w:t xml:space="preserve">- Distribute updated documents</w:t>
      </w:r>
      <w:r>
        <w:t xml:space="preserve"> </w:t>
      </w:r>
      <w:r>
        <w:t xml:space="preserve">- Update document repository</w:t>
      </w:r>
      <w:r>
        <w:t xml:space="preserve"> </w:t>
      </w:r>
      <w:r>
        <w:t xml:space="preserve">- Archive previous versions</w:t>
      </w:r>
      <w:r>
        <w:t xml:space="preserve"> </w:t>
      </w:r>
      <w:r>
        <w:t xml:space="preserve">- Update document index</w:t>
      </w:r>
    </w:p>
    <w:p>
      <w:pPr>
        <w:pStyle w:val="BodyText"/>
      </w:pPr>
      <w:r>
        <w:rPr>
          <w:b/>
          <w:bCs/>
        </w:rPr>
        <w:t xml:space="preserve">Step 12: Communication</w:t>
      </w:r>
      <w:r>
        <w:t xml:space="preserve"> </w:t>
      </w:r>
      <w:r>
        <w:t xml:space="preserve">- Notify stakeholders of updates</w:t>
      </w:r>
      <w:r>
        <w:t xml:space="preserve"> </w:t>
      </w:r>
      <w:r>
        <w:t xml:space="preserve">- Highlight significant changes</w:t>
      </w:r>
      <w:r>
        <w:t xml:space="preserve"> </w:t>
      </w:r>
      <w:r>
        <w:t xml:space="preserve">- Provide training if needed</w:t>
      </w:r>
      <w:r>
        <w:t xml:space="preserve"> </w:t>
      </w:r>
      <w:r>
        <w:t xml:space="preserve">- Update training materials</w:t>
      </w:r>
    </w:p>
    <w:bookmarkEnd w:id="17"/>
    <w:bookmarkEnd w:id="18"/>
    <w:bookmarkStart w:id="22" w:name="review-checklist"/>
    <w:p>
      <w:pPr>
        <w:pStyle w:val="Heading2"/>
      </w:pPr>
      <w:r>
        <w:t xml:space="preserve">5. Review Checklist</w:t>
      </w:r>
    </w:p>
    <w:bookmarkStart w:id="19" w:name="content-checklist"/>
    <w:p>
      <w:pPr>
        <w:pStyle w:val="Heading3"/>
      </w:pPr>
      <w:r>
        <w:t xml:space="preserve">5.1 Content Checklist</w:t>
      </w:r>
    </w:p>
    <w:p>
      <w:pPr>
        <w:pStyle w:val="Compact"/>
        <w:numPr>
          <w:ilvl w:val="0"/>
          <w:numId w:val="1002"/>
        </w:numPr>
      </w:pPr>
      <w:r>
        <w:t xml:space="preserve">Document purpose and scope accurate</w:t>
      </w:r>
    </w:p>
    <w:p>
      <w:pPr>
        <w:pStyle w:val="Compact"/>
        <w:numPr>
          <w:ilvl w:val="0"/>
          <w:numId w:val="1003"/>
        </w:numPr>
      </w:pPr>
      <w:r>
        <w:t xml:space="preserve">Policies and procedures current</w:t>
      </w:r>
    </w:p>
    <w:p>
      <w:pPr>
        <w:pStyle w:val="Compact"/>
        <w:numPr>
          <w:ilvl w:val="0"/>
          <w:numId w:val="1004"/>
        </w:numPr>
      </w:pPr>
      <w:r>
        <w:t xml:space="preserve">Roles and responsibilities correct</w:t>
      </w:r>
    </w:p>
    <w:p>
      <w:pPr>
        <w:pStyle w:val="Compact"/>
        <w:numPr>
          <w:ilvl w:val="0"/>
          <w:numId w:val="1005"/>
        </w:numPr>
      </w:pPr>
      <w:r>
        <w:t xml:space="preserve">Contact information updated</w:t>
      </w:r>
    </w:p>
    <w:p>
      <w:pPr>
        <w:pStyle w:val="Compact"/>
        <w:numPr>
          <w:ilvl w:val="0"/>
          <w:numId w:val="1006"/>
        </w:numPr>
      </w:pPr>
      <w:r>
        <w:t xml:space="preserve">References and links valid</w:t>
      </w:r>
    </w:p>
    <w:p>
      <w:pPr>
        <w:pStyle w:val="Compact"/>
        <w:numPr>
          <w:ilvl w:val="0"/>
          <w:numId w:val="1007"/>
        </w:numPr>
      </w:pPr>
      <w:r>
        <w:t xml:space="preserve">Examples and scenarios relevant</w:t>
      </w:r>
    </w:p>
    <w:p>
      <w:pPr>
        <w:pStyle w:val="Compact"/>
        <w:numPr>
          <w:ilvl w:val="0"/>
          <w:numId w:val="1008"/>
        </w:numPr>
      </w:pPr>
      <w:r>
        <w:t xml:space="preserve">Compliance requirements current</w:t>
      </w:r>
    </w:p>
    <w:p>
      <w:pPr>
        <w:pStyle w:val="Compact"/>
        <w:numPr>
          <w:ilvl w:val="0"/>
          <w:numId w:val="1009"/>
        </w:numPr>
      </w:pPr>
      <w:r>
        <w:t xml:space="preserve">Technical details accurate</w:t>
      </w:r>
    </w:p>
    <w:bookmarkEnd w:id="19"/>
    <w:bookmarkStart w:id="20" w:name="format-checklist"/>
    <w:p>
      <w:pPr>
        <w:pStyle w:val="Heading3"/>
      </w:pPr>
      <w:r>
        <w:t xml:space="preserve">5.2 Format Checklist</w:t>
      </w:r>
    </w:p>
    <w:p>
      <w:pPr>
        <w:pStyle w:val="Compact"/>
        <w:numPr>
          <w:ilvl w:val="0"/>
          <w:numId w:val="1010"/>
        </w:numPr>
      </w:pPr>
      <w:r>
        <w:t xml:space="preserve">Document formatting consistent</w:t>
      </w:r>
    </w:p>
    <w:p>
      <w:pPr>
        <w:pStyle w:val="Compact"/>
        <w:numPr>
          <w:ilvl w:val="0"/>
          <w:numId w:val="1011"/>
        </w:numPr>
      </w:pPr>
      <w:r>
        <w:t xml:space="preserve">Version number updated</w:t>
      </w:r>
    </w:p>
    <w:p>
      <w:pPr>
        <w:pStyle w:val="Compact"/>
        <w:numPr>
          <w:ilvl w:val="0"/>
          <w:numId w:val="1012"/>
        </w:numPr>
      </w:pPr>
      <w:r>
        <w:t xml:space="preserve">Revision date updated</w:t>
      </w:r>
    </w:p>
    <w:p>
      <w:pPr>
        <w:pStyle w:val="Compact"/>
        <w:numPr>
          <w:ilvl w:val="0"/>
          <w:numId w:val="1013"/>
        </w:numPr>
      </w:pPr>
      <w:r>
        <w:t xml:space="preserve">Review history updated</w:t>
      </w:r>
    </w:p>
    <w:p>
      <w:pPr>
        <w:pStyle w:val="Compact"/>
        <w:numPr>
          <w:ilvl w:val="0"/>
          <w:numId w:val="1014"/>
        </w:numPr>
      </w:pPr>
      <w:r>
        <w:t xml:space="preserve">Table of contents accurate</w:t>
      </w:r>
    </w:p>
    <w:p>
      <w:pPr>
        <w:pStyle w:val="Compact"/>
        <w:numPr>
          <w:ilvl w:val="0"/>
          <w:numId w:val="1015"/>
        </w:numPr>
      </w:pPr>
      <w:r>
        <w:t xml:space="preserve">Document control section complete</w:t>
      </w:r>
    </w:p>
    <w:bookmarkEnd w:id="20"/>
    <w:bookmarkStart w:id="21" w:name="compliance-checklist"/>
    <w:p>
      <w:pPr>
        <w:pStyle w:val="Heading3"/>
      </w:pPr>
      <w:r>
        <w:t xml:space="preserve">5.3 Compliance Checklist</w:t>
      </w:r>
    </w:p>
    <w:p>
      <w:pPr>
        <w:pStyle w:val="Compact"/>
        <w:numPr>
          <w:ilvl w:val="0"/>
          <w:numId w:val="1016"/>
        </w:numPr>
      </w:pPr>
      <w:r>
        <w:t xml:space="preserve">SOC 2 requirements addressed</w:t>
      </w:r>
    </w:p>
    <w:p>
      <w:pPr>
        <w:pStyle w:val="Compact"/>
        <w:numPr>
          <w:ilvl w:val="0"/>
          <w:numId w:val="1017"/>
        </w:numPr>
      </w:pPr>
      <w:r>
        <w:t xml:space="preserve">Regulatory requirements current</w:t>
      </w:r>
    </w:p>
    <w:p>
      <w:pPr>
        <w:pStyle w:val="Compact"/>
        <w:numPr>
          <w:ilvl w:val="0"/>
          <w:numId w:val="1018"/>
        </w:numPr>
      </w:pPr>
      <w:r>
        <w:t xml:space="preserve">Industry standards referenced</w:t>
      </w:r>
    </w:p>
    <w:p>
      <w:pPr>
        <w:pStyle w:val="Compact"/>
        <w:numPr>
          <w:ilvl w:val="0"/>
          <w:numId w:val="1019"/>
        </w:numPr>
      </w:pPr>
      <w:r>
        <w:t xml:space="preserve">Audit readiness maintained</w:t>
      </w:r>
    </w:p>
    <w:p>
      <w:pPr>
        <w:pStyle w:val="Compact"/>
        <w:numPr>
          <w:ilvl w:val="0"/>
          <w:numId w:val="1020"/>
        </w:numPr>
      </w:pPr>
      <w:r>
        <w:t xml:space="preserve">Compliance mapping accurate</w:t>
      </w:r>
    </w:p>
    <w:bookmarkEnd w:id="21"/>
    <w:bookmarkEnd w:id="22"/>
    <w:bookmarkStart w:id="27" w:name="document-categories"/>
    <w:p>
      <w:pPr>
        <w:pStyle w:val="Heading2"/>
      </w:pPr>
      <w:r>
        <w:t xml:space="preserve">6. Document Categories</w:t>
      </w:r>
    </w:p>
    <w:bookmarkStart w:id="23" w:name="policies"/>
    <w:p>
      <w:pPr>
        <w:pStyle w:val="Heading3"/>
      </w:pPr>
      <w:r>
        <w:t xml:space="preserve">6.1 Policies</w:t>
      </w:r>
    </w:p>
    <w:p>
      <w:pPr>
        <w:pStyle w:val="Compact"/>
        <w:numPr>
          <w:ilvl w:val="0"/>
          <w:numId w:val="1021"/>
        </w:numPr>
      </w:pPr>
      <w:r>
        <w:t xml:space="preserve">Information Security Policy</w:t>
      </w:r>
    </w:p>
    <w:p>
      <w:pPr>
        <w:pStyle w:val="Compact"/>
        <w:numPr>
          <w:ilvl w:val="0"/>
          <w:numId w:val="1021"/>
        </w:numPr>
      </w:pPr>
      <w:r>
        <w:t xml:space="preserve">Acceptable Use Policy</w:t>
      </w:r>
    </w:p>
    <w:p>
      <w:pPr>
        <w:pStyle w:val="Compact"/>
        <w:numPr>
          <w:ilvl w:val="0"/>
          <w:numId w:val="1021"/>
        </w:numPr>
      </w:pPr>
      <w:r>
        <w:t xml:space="preserve">Access Control Policy</w:t>
      </w:r>
    </w:p>
    <w:p>
      <w:pPr>
        <w:pStyle w:val="Compact"/>
        <w:numPr>
          <w:ilvl w:val="0"/>
          <w:numId w:val="1021"/>
        </w:numPr>
      </w:pPr>
      <w:r>
        <w:t xml:space="preserve">Data Classification and Handling Policy</w:t>
      </w:r>
    </w:p>
    <w:p>
      <w:pPr>
        <w:pStyle w:val="Compact"/>
        <w:numPr>
          <w:ilvl w:val="0"/>
          <w:numId w:val="1021"/>
        </w:numPr>
      </w:pPr>
      <w:r>
        <w:t xml:space="preserve">Incident Response Policy</w:t>
      </w:r>
    </w:p>
    <w:p>
      <w:pPr>
        <w:pStyle w:val="Compact"/>
        <w:numPr>
          <w:ilvl w:val="0"/>
          <w:numId w:val="1021"/>
        </w:numPr>
      </w:pPr>
      <w:r>
        <w:t xml:space="preserve">Vendor Management Policy</w:t>
      </w:r>
    </w:p>
    <w:p>
      <w:pPr>
        <w:pStyle w:val="Compact"/>
        <w:numPr>
          <w:ilvl w:val="0"/>
          <w:numId w:val="1021"/>
        </w:numPr>
      </w:pPr>
      <w:r>
        <w:t xml:space="preserve">Change Management Policy</w:t>
      </w:r>
    </w:p>
    <w:p>
      <w:pPr>
        <w:pStyle w:val="Compact"/>
        <w:numPr>
          <w:ilvl w:val="0"/>
          <w:numId w:val="1021"/>
        </w:numPr>
      </w:pPr>
      <w:r>
        <w:t xml:space="preserve">Logging and Monitoring Policy</w:t>
      </w:r>
    </w:p>
    <w:p>
      <w:pPr>
        <w:pStyle w:val="Compact"/>
        <w:numPr>
          <w:ilvl w:val="0"/>
          <w:numId w:val="1021"/>
        </w:numPr>
      </w:pPr>
      <w:r>
        <w:t xml:space="preserve">Privacy Management Policy</w:t>
      </w:r>
    </w:p>
    <w:p>
      <w:pPr>
        <w:pStyle w:val="Compact"/>
        <w:numPr>
          <w:ilvl w:val="0"/>
          <w:numId w:val="1021"/>
        </w:numPr>
      </w:pPr>
      <w:r>
        <w:t xml:space="preserve">Risk Communication Management Policy</w:t>
      </w:r>
    </w:p>
    <w:p>
      <w:pPr>
        <w:pStyle w:val="Compact"/>
        <w:numPr>
          <w:ilvl w:val="0"/>
          <w:numId w:val="1021"/>
        </w:numPr>
      </w:pPr>
      <w:r>
        <w:t xml:space="preserve">Acceptable Encryption Standard Policy</w:t>
      </w:r>
    </w:p>
    <w:bookmarkEnd w:id="23"/>
    <w:bookmarkStart w:id="24" w:name="procedures"/>
    <w:p>
      <w:pPr>
        <w:pStyle w:val="Heading3"/>
      </w:pPr>
      <w:r>
        <w:t xml:space="preserve">6.2 Procedures</w:t>
      </w:r>
    </w:p>
    <w:p>
      <w:pPr>
        <w:pStyle w:val="Compact"/>
        <w:numPr>
          <w:ilvl w:val="0"/>
          <w:numId w:val="1022"/>
        </w:numPr>
      </w:pPr>
      <w:r>
        <w:t xml:space="preserve">Standard Operating Procedures</w:t>
      </w:r>
    </w:p>
    <w:p>
      <w:pPr>
        <w:pStyle w:val="Compact"/>
        <w:numPr>
          <w:ilvl w:val="0"/>
          <w:numId w:val="1022"/>
        </w:numPr>
      </w:pPr>
      <w:r>
        <w:t xml:space="preserve">Incident Response Procedures</w:t>
      </w:r>
    </w:p>
    <w:p>
      <w:pPr>
        <w:pStyle w:val="Compact"/>
        <w:numPr>
          <w:ilvl w:val="0"/>
          <w:numId w:val="1022"/>
        </w:numPr>
      </w:pPr>
      <w:r>
        <w:t xml:space="preserve">Access Management Procedures</w:t>
      </w:r>
    </w:p>
    <w:p>
      <w:pPr>
        <w:pStyle w:val="Compact"/>
        <w:numPr>
          <w:ilvl w:val="0"/>
          <w:numId w:val="1022"/>
        </w:numPr>
      </w:pPr>
      <w:r>
        <w:t xml:space="preserve">Change Management Procedures</w:t>
      </w:r>
    </w:p>
    <w:p>
      <w:pPr>
        <w:pStyle w:val="Compact"/>
        <w:numPr>
          <w:ilvl w:val="0"/>
          <w:numId w:val="1022"/>
        </w:numPr>
      </w:pPr>
      <w:r>
        <w:t xml:space="preserve">Backup and Recovery Procedures</w:t>
      </w:r>
    </w:p>
    <w:bookmarkEnd w:id="24"/>
    <w:bookmarkStart w:id="25" w:name="plans"/>
    <w:p>
      <w:pPr>
        <w:pStyle w:val="Heading3"/>
      </w:pPr>
      <w:r>
        <w:t xml:space="preserve">6.3 Plans</w:t>
      </w:r>
    </w:p>
    <w:p>
      <w:pPr>
        <w:pStyle w:val="Compact"/>
        <w:numPr>
          <w:ilvl w:val="0"/>
          <w:numId w:val="1023"/>
        </w:numPr>
      </w:pPr>
      <w:r>
        <w:t xml:space="preserve">Business Continuity Plan</w:t>
      </w:r>
    </w:p>
    <w:p>
      <w:pPr>
        <w:pStyle w:val="Compact"/>
        <w:numPr>
          <w:ilvl w:val="0"/>
          <w:numId w:val="1023"/>
        </w:numPr>
      </w:pPr>
      <w:r>
        <w:t xml:space="preserve">Disaster Recovery Plan</w:t>
      </w:r>
    </w:p>
    <w:p>
      <w:pPr>
        <w:pStyle w:val="Compact"/>
        <w:numPr>
          <w:ilvl w:val="0"/>
          <w:numId w:val="1023"/>
        </w:numPr>
      </w:pPr>
      <w:r>
        <w:t xml:space="preserve">Training Plan</w:t>
      </w:r>
    </w:p>
    <w:p>
      <w:pPr>
        <w:pStyle w:val="Compact"/>
        <w:numPr>
          <w:ilvl w:val="0"/>
          <w:numId w:val="1023"/>
        </w:numPr>
      </w:pPr>
      <w:r>
        <w:t xml:space="preserve">Incident Response Plan</w:t>
      </w:r>
    </w:p>
    <w:bookmarkEnd w:id="25"/>
    <w:bookmarkStart w:id="26" w:name="supporting-documents"/>
    <w:p>
      <w:pPr>
        <w:pStyle w:val="Heading3"/>
      </w:pPr>
      <w:r>
        <w:t xml:space="preserve">6.4 Supporting Documents</w:t>
      </w:r>
    </w:p>
    <w:p>
      <w:pPr>
        <w:pStyle w:val="Compact"/>
        <w:numPr>
          <w:ilvl w:val="0"/>
          <w:numId w:val="1024"/>
        </w:numPr>
      </w:pPr>
      <w:r>
        <w:t xml:space="preserve">AWS Security Documentation</w:t>
      </w:r>
    </w:p>
    <w:p>
      <w:pPr>
        <w:pStyle w:val="Compact"/>
        <w:numPr>
          <w:ilvl w:val="0"/>
          <w:numId w:val="1024"/>
        </w:numPr>
      </w:pPr>
      <w:r>
        <w:t xml:space="preserve">Access Control Matrices</w:t>
      </w:r>
    </w:p>
    <w:p>
      <w:pPr>
        <w:pStyle w:val="Compact"/>
        <w:numPr>
          <w:ilvl w:val="0"/>
          <w:numId w:val="1024"/>
        </w:numPr>
      </w:pPr>
      <w:r>
        <w:t xml:space="preserve">Configuration Documentation</w:t>
      </w:r>
    </w:p>
    <w:p>
      <w:pPr>
        <w:pStyle w:val="Compact"/>
        <w:numPr>
          <w:ilvl w:val="0"/>
          <w:numId w:val="1024"/>
        </w:numPr>
      </w:pPr>
      <w:r>
        <w:t xml:space="preserve">Reference Materials</w:t>
      </w:r>
    </w:p>
    <w:bookmarkEnd w:id="26"/>
    <w:bookmarkEnd w:id="27"/>
    <w:bookmarkStart w:id="32" w:name="review-responsibilities"/>
    <w:p>
      <w:pPr>
        <w:pStyle w:val="Heading2"/>
      </w:pPr>
      <w:r>
        <w:t xml:space="preserve">7. Review Responsibilities</w:t>
      </w:r>
    </w:p>
    <w:bookmarkStart w:id="28" w:name="document-owners"/>
    <w:p>
      <w:pPr>
        <w:pStyle w:val="Heading3"/>
      </w:pPr>
      <w:r>
        <w:t xml:space="preserve">7.1 Document Owners</w:t>
      </w:r>
    </w:p>
    <w:p>
      <w:pPr>
        <w:pStyle w:val="Compact"/>
        <w:numPr>
          <w:ilvl w:val="0"/>
          <w:numId w:val="1025"/>
        </w:numPr>
      </w:pPr>
      <w:r>
        <w:t xml:space="preserve">Primary responsibility for document review</w:t>
      </w:r>
    </w:p>
    <w:p>
      <w:pPr>
        <w:pStyle w:val="Compact"/>
        <w:numPr>
          <w:ilvl w:val="0"/>
          <w:numId w:val="1025"/>
        </w:numPr>
      </w:pPr>
      <w:r>
        <w:t xml:space="preserve">Content accuracy and completeness</w:t>
      </w:r>
    </w:p>
    <w:p>
      <w:pPr>
        <w:pStyle w:val="Compact"/>
        <w:numPr>
          <w:ilvl w:val="0"/>
          <w:numId w:val="1025"/>
        </w:numPr>
      </w:pPr>
      <w:r>
        <w:t xml:space="preserve">Regulatory compliance</w:t>
      </w:r>
    </w:p>
    <w:p>
      <w:pPr>
        <w:pStyle w:val="Compact"/>
        <w:numPr>
          <w:ilvl w:val="0"/>
          <w:numId w:val="1025"/>
        </w:numPr>
      </w:pPr>
      <w:r>
        <w:t xml:space="preserve">Stakeholder coordination</w:t>
      </w:r>
    </w:p>
    <w:p>
      <w:pPr>
        <w:pStyle w:val="Compact"/>
        <w:numPr>
          <w:ilvl w:val="0"/>
          <w:numId w:val="1025"/>
        </w:numPr>
      </w:pPr>
      <w:r>
        <w:t xml:space="preserve">Approval process</w:t>
      </w:r>
    </w:p>
    <w:bookmarkEnd w:id="28"/>
    <w:bookmarkStart w:id="29" w:name="subject-matter-experts"/>
    <w:p>
      <w:pPr>
        <w:pStyle w:val="Heading3"/>
      </w:pPr>
      <w:r>
        <w:t xml:space="preserve">7.2 Subject Matter Experts</w:t>
      </w:r>
    </w:p>
    <w:p>
      <w:pPr>
        <w:pStyle w:val="Compact"/>
        <w:numPr>
          <w:ilvl w:val="0"/>
          <w:numId w:val="1026"/>
        </w:numPr>
      </w:pPr>
      <w:r>
        <w:t xml:space="preserve">Technical accuracy review</w:t>
      </w:r>
    </w:p>
    <w:p>
      <w:pPr>
        <w:pStyle w:val="Compact"/>
        <w:numPr>
          <w:ilvl w:val="0"/>
          <w:numId w:val="1026"/>
        </w:numPr>
      </w:pPr>
      <w:r>
        <w:t xml:space="preserve">Best practice alignment</w:t>
      </w:r>
    </w:p>
    <w:p>
      <w:pPr>
        <w:pStyle w:val="Compact"/>
        <w:numPr>
          <w:ilvl w:val="0"/>
          <w:numId w:val="1026"/>
        </w:numPr>
      </w:pPr>
      <w:r>
        <w:t xml:space="preserve">Industry standard compliance</w:t>
      </w:r>
    </w:p>
    <w:p>
      <w:pPr>
        <w:pStyle w:val="Compact"/>
        <w:numPr>
          <w:ilvl w:val="0"/>
          <w:numId w:val="1026"/>
        </w:numPr>
      </w:pPr>
      <w:r>
        <w:t xml:space="preserve">Operational feasibility</w:t>
      </w:r>
    </w:p>
    <w:bookmarkEnd w:id="29"/>
    <w:bookmarkStart w:id="30" w:name="information-security-team"/>
    <w:p>
      <w:pPr>
        <w:pStyle w:val="Heading3"/>
      </w:pPr>
      <w:r>
        <w:t xml:space="preserve">7.3 Information Security Team</w:t>
      </w:r>
    </w:p>
    <w:p>
      <w:pPr>
        <w:pStyle w:val="Compact"/>
        <w:numPr>
          <w:ilvl w:val="0"/>
          <w:numId w:val="1027"/>
        </w:numPr>
      </w:pPr>
      <w:r>
        <w:t xml:space="preserve">Overall review coordination</w:t>
      </w:r>
    </w:p>
    <w:p>
      <w:pPr>
        <w:pStyle w:val="Compact"/>
        <w:numPr>
          <w:ilvl w:val="0"/>
          <w:numId w:val="1027"/>
        </w:numPr>
      </w:pPr>
      <w:r>
        <w:t xml:space="preserve">Compliance verification</w:t>
      </w:r>
    </w:p>
    <w:p>
      <w:pPr>
        <w:pStyle w:val="Compact"/>
        <w:numPr>
          <w:ilvl w:val="0"/>
          <w:numId w:val="1027"/>
        </w:numPr>
      </w:pPr>
      <w:r>
        <w:t xml:space="preserve">Consistency across documents</w:t>
      </w:r>
    </w:p>
    <w:p>
      <w:pPr>
        <w:pStyle w:val="Compact"/>
        <w:numPr>
          <w:ilvl w:val="0"/>
          <w:numId w:val="1027"/>
        </w:numPr>
      </w:pPr>
      <w:r>
        <w:t xml:space="preserve">Review process management</w:t>
      </w:r>
    </w:p>
    <w:bookmarkEnd w:id="30"/>
    <w:bookmarkStart w:id="31" w:name="management"/>
    <w:p>
      <w:pPr>
        <w:pStyle w:val="Heading3"/>
      </w:pPr>
      <w:r>
        <w:t xml:space="preserve">7.4 Management</w:t>
      </w:r>
    </w:p>
    <w:p>
      <w:pPr>
        <w:pStyle w:val="Compact"/>
        <w:numPr>
          <w:ilvl w:val="0"/>
          <w:numId w:val="1028"/>
        </w:numPr>
      </w:pPr>
      <w:r>
        <w:t xml:space="preserve">Policy approval</w:t>
      </w:r>
    </w:p>
    <w:p>
      <w:pPr>
        <w:pStyle w:val="Compact"/>
        <w:numPr>
          <w:ilvl w:val="0"/>
          <w:numId w:val="1028"/>
        </w:numPr>
      </w:pPr>
      <w:r>
        <w:t xml:space="preserve">Resource allocation</w:t>
      </w:r>
    </w:p>
    <w:p>
      <w:pPr>
        <w:pStyle w:val="Compact"/>
        <w:numPr>
          <w:ilvl w:val="0"/>
          <w:numId w:val="1028"/>
        </w:numPr>
      </w:pPr>
      <w:r>
        <w:t xml:space="preserve">Strategic alignment</w:t>
      </w:r>
    </w:p>
    <w:p>
      <w:pPr>
        <w:pStyle w:val="Compact"/>
        <w:numPr>
          <w:ilvl w:val="0"/>
          <w:numId w:val="1028"/>
        </w:numPr>
      </w:pPr>
      <w:r>
        <w:t xml:space="preserve">Final approval</w:t>
      </w:r>
    </w:p>
    <w:bookmarkEnd w:id="31"/>
    <w:bookmarkEnd w:id="32"/>
    <w:bookmarkStart w:id="35" w:name="review-documentation"/>
    <w:p>
      <w:pPr>
        <w:pStyle w:val="Heading2"/>
      </w:pPr>
      <w:r>
        <w:t xml:space="preserve">8. Review Documentation</w:t>
      </w:r>
    </w:p>
    <w:bookmarkStart w:id="33" w:name="required-documentation"/>
    <w:p>
      <w:pPr>
        <w:pStyle w:val="Heading3"/>
      </w:pPr>
      <w:r>
        <w:t xml:space="preserve">8.1 Required Documentation</w:t>
      </w:r>
    </w:p>
    <w:p>
      <w:pPr>
        <w:pStyle w:val="Compact"/>
        <w:numPr>
          <w:ilvl w:val="0"/>
          <w:numId w:val="1029"/>
        </w:numPr>
      </w:pPr>
      <w:r>
        <w:t xml:space="preserve">Review checklist completion</w:t>
      </w:r>
    </w:p>
    <w:p>
      <w:pPr>
        <w:pStyle w:val="Compact"/>
        <w:numPr>
          <w:ilvl w:val="0"/>
          <w:numId w:val="1029"/>
        </w:numPr>
      </w:pPr>
      <w:r>
        <w:t xml:space="preserve">Review findings</w:t>
      </w:r>
    </w:p>
    <w:p>
      <w:pPr>
        <w:pStyle w:val="Compact"/>
        <w:numPr>
          <w:ilvl w:val="0"/>
          <w:numId w:val="1029"/>
        </w:numPr>
      </w:pPr>
      <w:r>
        <w:t xml:space="preserve">Changes made</w:t>
      </w:r>
    </w:p>
    <w:p>
      <w:pPr>
        <w:pStyle w:val="Compact"/>
        <w:numPr>
          <w:ilvl w:val="0"/>
          <w:numId w:val="1029"/>
        </w:numPr>
      </w:pPr>
      <w:r>
        <w:t xml:space="preserve">Approval records</w:t>
      </w:r>
    </w:p>
    <w:p>
      <w:pPr>
        <w:pStyle w:val="Compact"/>
        <w:numPr>
          <w:ilvl w:val="0"/>
          <w:numId w:val="1029"/>
        </w:numPr>
      </w:pPr>
      <w:r>
        <w:t xml:space="preserve">Next review date</w:t>
      </w:r>
    </w:p>
    <w:p>
      <w:pPr>
        <w:pStyle w:val="Compact"/>
        <w:numPr>
          <w:ilvl w:val="0"/>
          <w:numId w:val="1029"/>
        </w:numPr>
      </w:pPr>
      <w:r>
        <w:t xml:space="preserve">Review history</w:t>
      </w:r>
    </w:p>
    <w:bookmarkEnd w:id="33"/>
    <w:bookmarkStart w:id="34" w:name="review-records"/>
    <w:p>
      <w:pPr>
        <w:pStyle w:val="Heading3"/>
      </w:pPr>
      <w:r>
        <w:t xml:space="preserve">8.2 Review Records</w:t>
      </w:r>
    </w:p>
    <w:p>
      <w:pPr>
        <w:pStyle w:val="Compact"/>
        <w:numPr>
          <w:ilvl w:val="0"/>
          <w:numId w:val="1030"/>
        </w:numPr>
      </w:pPr>
      <w:r>
        <w:t xml:space="preserve">Review dates</w:t>
      </w:r>
    </w:p>
    <w:p>
      <w:pPr>
        <w:pStyle w:val="Compact"/>
        <w:numPr>
          <w:ilvl w:val="0"/>
          <w:numId w:val="1030"/>
        </w:numPr>
      </w:pPr>
      <w:r>
        <w:t xml:space="preserve">Reviewers</w:t>
      </w:r>
    </w:p>
    <w:p>
      <w:pPr>
        <w:pStyle w:val="Compact"/>
        <w:numPr>
          <w:ilvl w:val="0"/>
          <w:numId w:val="1030"/>
        </w:numPr>
      </w:pPr>
      <w:r>
        <w:t xml:space="preserve">Changes made</w:t>
      </w:r>
    </w:p>
    <w:p>
      <w:pPr>
        <w:pStyle w:val="Compact"/>
        <w:numPr>
          <w:ilvl w:val="0"/>
          <w:numId w:val="1030"/>
        </w:numPr>
      </w:pPr>
      <w:r>
        <w:t xml:space="preserve">Approval dates</w:t>
      </w:r>
    </w:p>
    <w:p>
      <w:pPr>
        <w:pStyle w:val="Compact"/>
        <w:numPr>
          <w:ilvl w:val="0"/>
          <w:numId w:val="1030"/>
        </w:numPr>
      </w:pPr>
      <w:r>
        <w:t xml:space="preserve">Distribution dates</w:t>
      </w:r>
    </w:p>
    <w:bookmarkEnd w:id="34"/>
    <w:bookmarkEnd w:id="35"/>
    <w:bookmarkStart w:id="38" w:name="review-tools-and-systems"/>
    <w:p>
      <w:pPr>
        <w:pStyle w:val="Heading2"/>
      </w:pPr>
      <w:r>
        <w:t xml:space="preserve">9. Review Tools and Systems</w:t>
      </w:r>
    </w:p>
    <w:bookmarkStart w:id="36" w:name="document-management"/>
    <w:p>
      <w:pPr>
        <w:pStyle w:val="Heading3"/>
      </w:pPr>
      <w:r>
        <w:t xml:space="preserve">9.1 Document Management</w:t>
      </w:r>
    </w:p>
    <w:p>
      <w:pPr>
        <w:pStyle w:val="Compact"/>
        <w:numPr>
          <w:ilvl w:val="0"/>
          <w:numId w:val="1031"/>
        </w:numPr>
      </w:pPr>
      <w:r>
        <w:t xml:space="preserve">Centralized document repository</w:t>
      </w:r>
    </w:p>
    <w:p>
      <w:pPr>
        <w:pStyle w:val="Compact"/>
        <w:numPr>
          <w:ilvl w:val="0"/>
          <w:numId w:val="1031"/>
        </w:numPr>
      </w:pPr>
      <w:r>
        <w:t xml:space="preserve">Version control</w:t>
      </w:r>
    </w:p>
    <w:p>
      <w:pPr>
        <w:pStyle w:val="Compact"/>
        <w:numPr>
          <w:ilvl w:val="0"/>
          <w:numId w:val="1031"/>
        </w:numPr>
      </w:pPr>
      <w:r>
        <w:t xml:space="preserve">Access controls</w:t>
      </w:r>
    </w:p>
    <w:p>
      <w:pPr>
        <w:pStyle w:val="Compact"/>
        <w:numPr>
          <w:ilvl w:val="0"/>
          <w:numId w:val="1031"/>
        </w:numPr>
      </w:pPr>
      <w:r>
        <w:t xml:space="preserve">Document tracking</w:t>
      </w:r>
    </w:p>
    <w:p>
      <w:pPr>
        <w:pStyle w:val="Compact"/>
        <w:numPr>
          <w:ilvl w:val="0"/>
          <w:numId w:val="1031"/>
        </w:numPr>
      </w:pPr>
      <w:r>
        <w:t xml:space="preserve">Review reminders</w:t>
      </w:r>
    </w:p>
    <w:bookmarkEnd w:id="36"/>
    <w:bookmarkStart w:id="37" w:name="review-tracking"/>
    <w:p>
      <w:pPr>
        <w:pStyle w:val="Heading3"/>
      </w:pPr>
      <w:r>
        <w:t xml:space="preserve">9.2 Review Tracking</w:t>
      </w:r>
    </w:p>
    <w:p>
      <w:pPr>
        <w:pStyle w:val="Compact"/>
        <w:numPr>
          <w:ilvl w:val="0"/>
          <w:numId w:val="1032"/>
        </w:numPr>
      </w:pPr>
      <w:r>
        <w:t xml:space="preserve">Review schedule tracking</w:t>
      </w:r>
    </w:p>
    <w:p>
      <w:pPr>
        <w:pStyle w:val="Compact"/>
        <w:numPr>
          <w:ilvl w:val="0"/>
          <w:numId w:val="1032"/>
        </w:numPr>
      </w:pPr>
      <w:r>
        <w:t xml:space="preserve">Review status monitoring</w:t>
      </w:r>
    </w:p>
    <w:p>
      <w:pPr>
        <w:pStyle w:val="Compact"/>
        <w:numPr>
          <w:ilvl w:val="0"/>
          <w:numId w:val="1032"/>
        </w:numPr>
      </w:pPr>
      <w:r>
        <w:t xml:space="preserve">Compliance reporting</w:t>
      </w:r>
    </w:p>
    <w:p>
      <w:pPr>
        <w:pStyle w:val="Compact"/>
        <w:numPr>
          <w:ilvl w:val="0"/>
          <w:numId w:val="1032"/>
        </w:numPr>
      </w:pPr>
      <w:r>
        <w:t xml:space="preserve">Audit trail maintenance</w:t>
      </w:r>
    </w:p>
    <w:bookmarkEnd w:id="37"/>
    <w:bookmarkEnd w:id="38"/>
    <w:bookmarkStart w:id="41" w:name="training-and-awareness"/>
    <w:p>
      <w:pPr>
        <w:pStyle w:val="Heading2"/>
      </w:pPr>
      <w:r>
        <w:t xml:space="preserve">10. Training and Awareness</w:t>
      </w:r>
    </w:p>
    <w:bookmarkStart w:id="39" w:name="reviewer-training"/>
    <w:p>
      <w:pPr>
        <w:pStyle w:val="Heading3"/>
      </w:pPr>
      <w:r>
        <w:t xml:space="preserve">10.1 Reviewer Training</w:t>
      </w:r>
    </w:p>
    <w:p>
      <w:pPr>
        <w:pStyle w:val="Compact"/>
        <w:numPr>
          <w:ilvl w:val="0"/>
          <w:numId w:val="1033"/>
        </w:numPr>
      </w:pPr>
      <w:r>
        <w:t xml:space="preserve">Review process training</w:t>
      </w:r>
    </w:p>
    <w:p>
      <w:pPr>
        <w:pStyle w:val="Compact"/>
        <w:numPr>
          <w:ilvl w:val="0"/>
          <w:numId w:val="1033"/>
        </w:numPr>
      </w:pPr>
      <w:r>
        <w:t xml:space="preserve">Review checklist training</w:t>
      </w:r>
    </w:p>
    <w:p>
      <w:pPr>
        <w:pStyle w:val="Compact"/>
        <w:numPr>
          <w:ilvl w:val="0"/>
          <w:numId w:val="1033"/>
        </w:numPr>
      </w:pPr>
      <w:r>
        <w:t xml:space="preserve">Document update procedures</w:t>
      </w:r>
    </w:p>
    <w:p>
      <w:pPr>
        <w:pStyle w:val="Compact"/>
        <w:numPr>
          <w:ilvl w:val="0"/>
          <w:numId w:val="1033"/>
        </w:numPr>
      </w:pPr>
      <w:r>
        <w:t xml:space="preserve">Approval process training</w:t>
      </w:r>
    </w:p>
    <w:bookmarkEnd w:id="39"/>
    <w:bookmarkStart w:id="40" w:name="awareness"/>
    <w:p>
      <w:pPr>
        <w:pStyle w:val="Heading3"/>
      </w:pPr>
      <w:r>
        <w:t xml:space="preserve">10.2 Awareness</w:t>
      </w:r>
    </w:p>
    <w:p>
      <w:pPr>
        <w:pStyle w:val="Compact"/>
        <w:numPr>
          <w:ilvl w:val="0"/>
          <w:numId w:val="1034"/>
        </w:numPr>
      </w:pPr>
      <w:r>
        <w:t xml:space="preserve">Regular review reminders</w:t>
      </w:r>
    </w:p>
    <w:p>
      <w:pPr>
        <w:pStyle w:val="Compact"/>
        <w:numPr>
          <w:ilvl w:val="0"/>
          <w:numId w:val="1034"/>
        </w:numPr>
      </w:pPr>
      <w:r>
        <w:t xml:space="preserve">Review schedule communication</w:t>
      </w:r>
    </w:p>
    <w:p>
      <w:pPr>
        <w:pStyle w:val="Compact"/>
        <w:numPr>
          <w:ilvl w:val="0"/>
          <w:numId w:val="1034"/>
        </w:numPr>
      </w:pPr>
      <w:r>
        <w:t xml:space="preserve">Update notifications</w:t>
      </w:r>
    </w:p>
    <w:p>
      <w:pPr>
        <w:pStyle w:val="Compact"/>
        <w:numPr>
          <w:ilvl w:val="0"/>
          <w:numId w:val="1034"/>
        </w:numPr>
      </w:pPr>
      <w:r>
        <w:t xml:space="preserve">Process improvements</w:t>
      </w:r>
    </w:p>
    <w:bookmarkEnd w:id="40"/>
    <w:bookmarkEnd w:id="41"/>
    <w:bookmarkStart w:id="44" w:name="continuous-improvement"/>
    <w:p>
      <w:pPr>
        <w:pStyle w:val="Heading2"/>
      </w:pPr>
      <w:r>
        <w:t xml:space="preserve">11. Continuous Improvement</w:t>
      </w:r>
    </w:p>
    <w:bookmarkStart w:id="42" w:name="process-improvement"/>
    <w:p>
      <w:pPr>
        <w:pStyle w:val="Heading3"/>
      </w:pPr>
      <w:r>
        <w:t xml:space="preserve">11.1 Process Improvement</w:t>
      </w:r>
    </w:p>
    <w:p>
      <w:pPr>
        <w:pStyle w:val="Compact"/>
        <w:numPr>
          <w:ilvl w:val="0"/>
          <w:numId w:val="1035"/>
        </w:numPr>
      </w:pPr>
      <w:r>
        <w:t xml:space="preserve">Review process effectiveness</w:t>
      </w:r>
    </w:p>
    <w:p>
      <w:pPr>
        <w:pStyle w:val="Compact"/>
        <w:numPr>
          <w:ilvl w:val="0"/>
          <w:numId w:val="1035"/>
        </w:numPr>
      </w:pPr>
      <w:r>
        <w:t xml:space="preserve">Identify improvement opportunities</w:t>
      </w:r>
    </w:p>
    <w:p>
      <w:pPr>
        <w:pStyle w:val="Compact"/>
        <w:numPr>
          <w:ilvl w:val="0"/>
          <w:numId w:val="1035"/>
        </w:numPr>
      </w:pPr>
      <w:r>
        <w:t xml:space="preserve">Implement process enhancements</w:t>
      </w:r>
    </w:p>
    <w:p>
      <w:pPr>
        <w:pStyle w:val="Compact"/>
        <w:numPr>
          <w:ilvl w:val="0"/>
          <w:numId w:val="1035"/>
        </w:numPr>
      </w:pPr>
      <w:r>
        <w:t xml:space="preserve">Best practice adoption</w:t>
      </w:r>
    </w:p>
    <w:bookmarkEnd w:id="42"/>
    <w:bookmarkStart w:id="43" w:name="metrics"/>
    <w:p>
      <w:pPr>
        <w:pStyle w:val="Heading3"/>
      </w:pPr>
      <w:r>
        <w:t xml:space="preserve">11.2 Metrics</w:t>
      </w:r>
    </w:p>
    <w:p>
      <w:pPr>
        <w:pStyle w:val="Compact"/>
        <w:numPr>
          <w:ilvl w:val="0"/>
          <w:numId w:val="1036"/>
        </w:numPr>
      </w:pPr>
      <w:r>
        <w:t xml:space="preserve">Review completion rates</w:t>
      </w:r>
    </w:p>
    <w:p>
      <w:pPr>
        <w:pStyle w:val="Compact"/>
        <w:numPr>
          <w:ilvl w:val="0"/>
          <w:numId w:val="1036"/>
        </w:numPr>
      </w:pPr>
      <w:r>
        <w:t xml:space="preserve">Review timeliness</w:t>
      </w:r>
    </w:p>
    <w:p>
      <w:pPr>
        <w:pStyle w:val="Compact"/>
        <w:numPr>
          <w:ilvl w:val="0"/>
          <w:numId w:val="1036"/>
        </w:numPr>
      </w:pPr>
      <w:r>
        <w:t xml:space="preserve">Document accuracy</w:t>
      </w:r>
    </w:p>
    <w:p>
      <w:pPr>
        <w:pStyle w:val="Compact"/>
        <w:numPr>
          <w:ilvl w:val="0"/>
          <w:numId w:val="1036"/>
        </w:numPr>
      </w:pPr>
      <w:r>
        <w:t xml:space="preserve">Compliance status</w:t>
      </w:r>
    </w:p>
    <w:bookmarkEnd w:id="43"/>
    <w:bookmarkEnd w:id="44"/>
    <w:bookmarkStart w:id="47" w:name="compliance"/>
    <w:p>
      <w:pPr>
        <w:pStyle w:val="Heading2"/>
      </w:pPr>
      <w:r>
        <w:t xml:space="preserve">12. Compliance</w:t>
      </w:r>
    </w:p>
    <w:bookmarkStart w:id="45" w:name="soc-2-requirements"/>
    <w:p>
      <w:pPr>
        <w:pStyle w:val="Heading3"/>
      </w:pPr>
      <w:r>
        <w:t xml:space="preserve">12.1 SOC 2 Requirements</w:t>
      </w:r>
    </w:p>
    <w:p>
      <w:pPr>
        <w:pStyle w:val="Compact"/>
        <w:numPr>
          <w:ilvl w:val="0"/>
          <w:numId w:val="1037"/>
        </w:numPr>
      </w:pPr>
      <w:r>
        <w:t xml:space="preserve">Documentation maintenance</w:t>
      </w:r>
    </w:p>
    <w:p>
      <w:pPr>
        <w:pStyle w:val="Compact"/>
        <w:numPr>
          <w:ilvl w:val="0"/>
          <w:numId w:val="1037"/>
        </w:numPr>
      </w:pPr>
      <w:r>
        <w:t xml:space="preserve">Regular review process</w:t>
      </w:r>
    </w:p>
    <w:p>
      <w:pPr>
        <w:pStyle w:val="Compact"/>
        <w:numPr>
          <w:ilvl w:val="0"/>
          <w:numId w:val="1037"/>
        </w:numPr>
      </w:pPr>
      <w:r>
        <w:t xml:space="preserve">Update procedures</w:t>
      </w:r>
    </w:p>
    <w:p>
      <w:pPr>
        <w:pStyle w:val="Compact"/>
        <w:numPr>
          <w:ilvl w:val="0"/>
          <w:numId w:val="1037"/>
        </w:numPr>
      </w:pPr>
      <w:r>
        <w:t xml:space="preserve">Audit readiness</w:t>
      </w:r>
    </w:p>
    <w:bookmarkEnd w:id="45"/>
    <w:bookmarkStart w:id="46" w:name="regulatory-requirements"/>
    <w:p>
      <w:pPr>
        <w:pStyle w:val="Heading3"/>
      </w:pPr>
      <w:r>
        <w:t xml:space="preserve">12.2 Regulatory Requirements</w:t>
      </w:r>
    </w:p>
    <w:p>
      <w:pPr>
        <w:pStyle w:val="Compact"/>
        <w:numPr>
          <w:ilvl w:val="0"/>
          <w:numId w:val="1038"/>
        </w:numPr>
      </w:pPr>
      <w:r>
        <w:t xml:space="preserve">Regulatory compliance maintenance</w:t>
      </w:r>
    </w:p>
    <w:p>
      <w:pPr>
        <w:pStyle w:val="Compact"/>
        <w:numPr>
          <w:ilvl w:val="0"/>
          <w:numId w:val="1038"/>
        </w:numPr>
      </w:pPr>
      <w:r>
        <w:t xml:space="preserve">Documentation requirements</w:t>
      </w:r>
    </w:p>
    <w:p>
      <w:pPr>
        <w:pStyle w:val="Compact"/>
        <w:numPr>
          <w:ilvl w:val="0"/>
          <w:numId w:val="1038"/>
        </w:numPr>
      </w:pPr>
      <w:r>
        <w:t xml:space="preserve">Audit documentation</w:t>
      </w:r>
    </w:p>
    <w:p>
      <w:pPr>
        <w:pStyle w:val="Compact"/>
        <w:numPr>
          <w:ilvl w:val="0"/>
          <w:numId w:val="1038"/>
        </w:numPr>
      </w:pPr>
      <w:r>
        <w:t xml:space="preserve">Compliance reporting</w:t>
      </w:r>
    </w:p>
    <w:bookmarkEnd w:id="46"/>
    <w:bookmarkEnd w:id="47"/>
    <w:bookmarkStart w:id="48" w:name="related-documents"/>
    <w:p>
      <w:pPr>
        <w:pStyle w:val="Heading2"/>
      </w:pPr>
      <w:r>
        <w:t xml:space="preserve">13. Related Documents</w:t>
      </w:r>
    </w:p>
    <w:p>
      <w:pPr>
        <w:pStyle w:val="Compact"/>
        <w:numPr>
          <w:ilvl w:val="0"/>
          <w:numId w:val="1039"/>
        </w:numPr>
      </w:pPr>
      <w:r>
        <w:t xml:space="preserve">Information Security Policy</w:t>
      </w:r>
    </w:p>
    <w:p>
      <w:pPr>
        <w:pStyle w:val="Compact"/>
        <w:numPr>
          <w:ilvl w:val="0"/>
          <w:numId w:val="1039"/>
        </w:numPr>
      </w:pPr>
      <w:r>
        <w:t xml:space="preserve">Change Management Policy</w:t>
      </w:r>
    </w:p>
    <w:p>
      <w:pPr>
        <w:pStyle w:val="Compact"/>
        <w:numPr>
          <w:ilvl w:val="0"/>
          <w:numId w:val="1039"/>
        </w:numPr>
      </w:pPr>
      <w:r>
        <w:t xml:space="preserve">All policies and procedures subject to review</w:t>
      </w:r>
    </w:p>
    <w:bookmarkEnd w:id="48"/>
    <w:bookmarkStart w:id="49" w:name="review-history"/>
    <w:p>
      <w:pPr>
        <w:pStyle w:val="Heading2"/>
      </w:pPr>
      <w:r>
        <w:t xml:space="preserve">14. Review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Next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December 2025</w:t>
            </w:r>
          </w:p>
        </w:tc>
        <w:tc>
          <w:tcPr/>
          <w:p>
            <w:pPr>
              <w:pStyle w:val="Compact"/>
            </w:pPr>
            <w:r>
              <w:t xml:space="preserve">InfoSec Team</w:t>
            </w:r>
          </w:p>
        </w:tc>
        <w:tc>
          <w:tcPr/>
          <w:p>
            <w:pPr>
              <w:pStyle w:val="Compact"/>
            </w:pPr>
            <w:r>
              <w:t xml:space="preserve">Initial SOP creation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June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[To be completed]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All document owners and reviewers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2025-12-02T21:00:30Z</dcterms:created>
  <dcterms:modified xsi:type="dcterms:W3CDTF">2025-12-02T21:00:30Z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