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business-continuity-plan"/>
    <w:p>
      <w:pPr>
        <w:pStyle w:val="Heading1"/>
      </w:pPr>
      <w:r>
        <w:t xml:space="preserve">Business Continuity Plan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Effective Date:</w:t>
      </w:r>
      <w:r>
        <w:t xml:space="preserve"> </w:t>
      </w:r>
      <w:r>
        <w:t xml:space="preserve">December 2025</w:t>
      </w:r>
      <w:r>
        <w:br/>
      </w:r>
      <w:r>
        <w:rPr>
          <w:b/>
          <w:bCs/>
        </w:rPr>
        <w:t xml:space="preserve">Owner:</w:t>
      </w:r>
      <w:r>
        <w:t xml:space="preserve"> </w:t>
      </w:r>
      <w:r>
        <w:t xml:space="preserve">EcoMetricx Management</w:t>
      </w:r>
      <w:r>
        <w:br/>
      </w:r>
      <w:r>
        <w:rPr>
          <w:b/>
          <w:bCs/>
        </w:rPr>
        <w:t xml:space="preserve">Review Cycle:</w:t>
      </w:r>
      <w:r>
        <w:t xml:space="preserve"> </w:t>
      </w:r>
      <w:r>
        <w:t xml:space="preserve">Annually or following major organizational changes</w:t>
      </w:r>
    </w:p>
    <w:bookmarkStart w:id="9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Business Continuity Plan (BCP) establishes procedures to ensure EcoMetricx can continue critical business operations during and after a disruption. This plan supports SOC 2 Trust Service Criteria for Availability and complements the Disaster Recovery Plan.</w:t>
      </w:r>
    </w:p>
    <w:bookmarkEnd w:id="9"/>
    <w:bookmarkStart w:id="10" w:name="scope"/>
    <w:p>
      <w:pPr>
        <w:pStyle w:val="Heading2"/>
      </w:pPr>
      <w:r>
        <w:t xml:space="preserve">2. Scope</w:t>
      </w:r>
    </w:p>
    <w:p>
      <w:pPr>
        <w:pStyle w:val="FirstParagraph"/>
      </w:pPr>
      <w:r>
        <w:t xml:space="preserve">This plan applies to:</w:t>
      </w:r>
      <w:r>
        <w:t xml:space="preserve"> </w:t>
      </w:r>
      <w:r>
        <w:t xml:space="preserve">- All critical business processes</w:t>
      </w:r>
      <w:r>
        <w:t xml:space="preserve"> </w:t>
      </w:r>
      <w:r>
        <w:t xml:space="preserve">- All critical information systems</w:t>
      </w:r>
      <w:r>
        <w:t xml:space="preserve"> </w:t>
      </w:r>
      <w:r>
        <w:t xml:space="preserve">- All business functions</w:t>
      </w:r>
      <w:r>
        <w:t xml:space="preserve"> </w:t>
      </w:r>
      <w:r>
        <w:t xml:space="preserve">- All personnel</w:t>
      </w:r>
      <w:r>
        <w:t xml:space="preserve"> </w:t>
      </w:r>
      <w:r>
        <w:t xml:space="preserve">- All locations</w:t>
      </w:r>
    </w:p>
    <w:bookmarkEnd w:id="10"/>
    <w:bookmarkStart w:id="14" w:name="business-impact-analysis"/>
    <w:p>
      <w:pPr>
        <w:pStyle w:val="Heading2"/>
      </w:pPr>
      <w:r>
        <w:t xml:space="preserve">3. Business Impact Analysis</w:t>
      </w:r>
    </w:p>
    <w:bookmarkStart w:id="11" w:name="critical-business-processes"/>
    <w:p>
      <w:pPr>
        <w:pStyle w:val="Heading3"/>
      </w:pPr>
      <w:r>
        <w:t xml:space="preserve">3.1 Critical Business Processes</w:t>
      </w:r>
    </w:p>
    <w:p>
      <w:pPr>
        <w:pStyle w:val="FirstParagraph"/>
      </w:pPr>
      <w:r>
        <w:rPr>
          <w:b/>
          <w:bCs/>
        </w:rPr>
        <w:t xml:space="preserve">Tier 1 - Critical (RTO: &lt; 4 hours):</w:t>
      </w:r>
      <w:r>
        <w:t xml:space="preserve"> </w:t>
      </w:r>
      <w:r>
        <w:t xml:space="preserve">- Customer-facing applications</w:t>
      </w:r>
      <w:r>
        <w:t xml:space="preserve"> </w:t>
      </w:r>
      <w:r>
        <w:t xml:space="preserve">- Payment processing</w:t>
      </w:r>
      <w:r>
        <w:t xml:space="preserve"> </w:t>
      </w:r>
      <w:r>
        <w:t xml:space="preserve">- Data processing services</w:t>
      </w:r>
      <w:r>
        <w:t xml:space="preserve"> </w:t>
      </w:r>
      <w:r>
        <w:t xml:space="preserve">- Customer support</w:t>
      </w:r>
    </w:p>
    <w:p>
      <w:pPr>
        <w:pStyle w:val="BodyText"/>
      </w:pPr>
      <w:r>
        <w:rPr>
          <w:b/>
          <w:bCs/>
        </w:rPr>
        <w:t xml:space="preserve">Tier 2 - Important (RTO: &lt; 24 hours):</w:t>
      </w:r>
      <w:r>
        <w:t xml:space="preserve"> </w:t>
      </w:r>
      <w:r>
        <w:t xml:space="preserve">- Internal business systems</w:t>
      </w:r>
      <w:r>
        <w:t xml:space="preserve"> </w:t>
      </w:r>
      <w:r>
        <w:t xml:space="preserve">- Reporting and analytics</w:t>
      </w:r>
      <w:r>
        <w:t xml:space="preserve"> </w:t>
      </w:r>
      <w:r>
        <w:t xml:space="preserve">- Development environments</w:t>
      </w:r>
    </w:p>
    <w:p>
      <w:pPr>
        <w:pStyle w:val="BodyText"/>
      </w:pPr>
      <w:r>
        <w:rPr>
          <w:b/>
          <w:bCs/>
        </w:rPr>
        <w:t xml:space="preserve">Tier 3 - Standard (RTO: &lt; 72 hours):</w:t>
      </w:r>
      <w:r>
        <w:t xml:space="preserve"> </w:t>
      </w:r>
      <w:r>
        <w:t xml:space="preserve">- Non-critical systems</w:t>
      </w:r>
      <w:r>
        <w:t xml:space="preserve"> </w:t>
      </w:r>
      <w:r>
        <w:t xml:space="preserve">- Administrative functions</w:t>
      </w:r>
    </w:p>
    <w:bookmarkEnd w:id="11"/>
    <w:bookmarkStart w:id="12" w:name="recovery-time-objectives-rto"/>
    <w:p>
      <w:pPr>
        <w:pStyle w:val="Heading3"/>
      </w:pPr>
      <w:r>
        <w:t xml:space="preserve">3.2 Recovery Time Objectives (RTO)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Critical Systems:</w:t>
      </w:r>
      <w:r>
        <w:t xml:space="preserve"> </w:t>
      </w:r>
      <w:r>
        <w:t xml:space="preserve">4 hours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Important Systems:</w:t>
      </w:r>
      <w:r>
        <w:t xml:space="preserve"> </w:t>
      </w:r>
      <w:r>
        <w:t xml:space="preserve">24 hours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Standard Systems:</w:t>
      </w:r>
      <w:r>
        <w:t xml:space="preserve"> </w:t>
      </w:r>
      <w:r>
        <w:t xml:space="preserve">72 hours</w:t>
      </w:r>
    </w:p>
    <w:bookmarkEnd w:id="12"/>
    <w:bookmarkStart w:id="13" w:name="recovery-point-objectives-rpo"/>
    <w:p>
      <w:pPr>
        <w:pStyle w:val="Heading3"/>
      </w:pPr>
      <w:r>
        <w:t xml:space="preserve">3.3 Recovery Point Objectives (RPO)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Critical Systems:</w:t>
      </w:r>
      <w:r>
        <w:t xml:space="preserve"> </w:t>
      </w:r>
      <w:r>
        <w:t xml:space="preserve">1 hour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Important Systems:</w:t>
      </w:r>
      <w:r>
        <w:t xml:space="preserve"> </w:t>
      </w:r>
      <w:r>
        <w:t xml:space="preserve">24 hours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Standard Systems:</w:t>
      </w:r>
      <w:r>
        <w:t xml:space="preserve"> </w:t>
      </w:r>
      <w:r>
        <w:t xml:space="preserve">72 hours</w:t>
      </w:r>
    </w:p>
    <w:bookmarkEnd w:id="13"/>
    <w:bookmarkEnd w:id="14"/>
    <w:bookmarkStart w:id="16" w:name="business-continuity-team"/>
    <w:p>
      <w:pPr>
        <w:pStyle w:val="Heading2"/>
      </w:pPr>
      <w:r>
        <w:t xml:space="preserve">4. Business Continuity Team</w:t>
      </w:r>
    </w:p>
    <w:bookmarkStart w:id="15" w:name="team-roles"/>
    <w:p>
      <w:pPr>
        <w:pStyle w:val="Heading3"/>
      </w:pPr>
      <w:r>
        <w:t xml:space="preserve">4.1 Team Roles</w:t>
      </w:r>
    </w:p>
    <w:p>
      <w:pPr>
        <w:pStyle w:val="FirstParagraph"/>
      </w:pPr>
      <w:r>
        <w:rPr>
          <w:b/>
          <w:bCs/>
        </w:rPr>
        <w:t xml:space="preserve">BCP Coordinator:</w:t>
      </w:r>
      <w:r>
        <w:t xml:space="preserve"> </w:t>
      </w:r>
      <w:r>
        <w:t xml:space="preserve">- Overall BCP coordination</w:t>
      </w:r>
      <w:r>
        <w:t xml:space="preserve"> </w:t>
      </w:r>
      <w:r>
        <w:t xml:space="preserve">- Decision making</w:t>
      </w:r>
      <w:r>
        <w:t xml:space="preserve"> </w:t>
      </w:r>
      <w:r>
        <w:t xml:space="preserve">- Stakeholder communication</w:t>
      </w:r>
    </w:p>
    <w:p>
      <w:pPr>
        <w:pStyle w:val="BodyText"/>
      </w:pPr>
      <w:r>
        <w:rPr>
          <w:b/>
          <w:bCs/>
        </w:rPr>
        <w:t xml:space="preserve">Business Unit Representatives:</w:t>
      </w:r>
      <w:r>
        <w:t xml:space="preserve"> </w:t>
      </w:r>
      <w:r>
        <w:t xml:space="preserve">- Business process owners</w:t>
      </w:r>
      <w:r>
        <w:t xml:space="preserve"> </w:t>
      </w:r>
      <w:r>
        <w:t xml:space="preserve">- Department managers</w:t>
      </w:r>
      <w:r>
        <w:t xml:space="preserve"> </w:t>
      </w:r>
      <w:r>
        <w:t xml:space="preserve">- Critical function representatives</w:t>
      </w:r>
    </w:p>
    <w:p>
      <w:pPr>
        <w:pStyle w:val="BodyText"/>
      </w:pPr>
      <w:r>
        <w:rPr>
          <w:b/>
          <w:bCs/>
        </w:rPr>
        <w:t xml:space="preserve">IT/Security Team:</w:t>
      </w:r>
      <w:r>
        <w:t xml:space="preserve"> </w:t>
      </w:r>
      <w:r>
        <w:t xml:space="preserve">- Technical recovery</w:t>
      </w:r>
      <w:r>
        <w:t xml:space="preserve"> </w:t>
      </w:r>
      <w:r>
        <w:t xml:space="preserve">- System restoration</w:t>
      </w:r>
      <w:r>
        <w:t xml:space="preserve"> </w:t>
      </w:r>
      <w:r>
        <w:t xml:space="preserve">- Security maintenance</w:t>
      </w:r>
    </w:p>
    <w:p>
      <w:pPr>
        <w:pStyle w:val="BodyText"/>
      </w:pPr>
      <w:r>
        <w:rPr>
          <w:b/>
          <w:bCs/>
        </w:rPr>
        <w:t xml:space="preserve">Communication Team:</w:t>
      </w:r>
      <w:r>
        <w:t xml:space="preserve"> </w:t>
      </w:r>
      <w:r>
        <w:t xml:space="preserve">- Internal communication</w:t>
      </w:r>
      <w:r>
        <w:t xml:space="preserve"> </w:t>
      </w:r>
      <w:r>
        <w:t xml:space="preserve">- External communication</w:t>
      </w:r>
      <w:r>
        <w:t xml:space="preserve"> </w:t>
      </w:r>
      <w:r>
        <w:t xml:space="preserve">- Customer notification</w:t>
      </w:r>
    </w:p>
    <w:bookmarkEnd w:id="15"/>
    <w:bookmarkEnd w:id="16"/>
    <w:bookmarkStart w:id="20" w:name="activation-procedures"/>
    <w:p>
      <w:pPr>
        <w:pStyle w:val="Heading2"/>
      </w:pPr>
      <w:r>
        <w:t xml:space="preserve">5. Activation Procedures</w:t>
      </w:r>
    </w:p>
    <w:bookmarkStart w:id="17" w:name="activation-triggers"/>
    <w:p>
      <w:pPr>
        <w:pStyle w:val="Heading3"/>
      </w:pPr>
      <w:r>
        <w:t xml:space="preserve">5.1 Activation Triggers</w:t>
      </w:r>
    </w:p>
    <w:p>
      <w:pPr>
        <w:pStyle w:val="Compact"/>
        <w:numPr>
          <w:ilvl w:val="0"/>
          <w:numId w:val="1003"/>
        </w:numPr>
      </w:pPr>
      <w:r>
        <w:t xml:space="preserve">Natural disasters</w:t>
      </w:r>
    </w:p>
    <w:p>
      <w:pPr>
        <w:pStyle w:val="Compact"/>
        <w:numPr>
          <w:ilvl w:val="0"/>
          <w:numId w:val="1003"/>
        </w:numPr>
      </w:pPr>
      <w:r>
        <w:t xml:space="preserve">Cyber attacks</w:t>
      </w:r>
    </w:p>
    <w:p>
      <w:pPr>
        <w:pStyle w:val="Compact"/>
        <w:numPr>
          <w:ilvl w:val="0"/>
          <w:numId w:val="1003"/>
        </w:numPr>
      </w:pPr>
      <w:r>
        <w:t xml:space="preserve">System failures</w:t>
      </w:r>
    </w:p>
    <w:p>
      <w:pPr>
        <w:pStyle w:val="Compact"/>
        <w:numPr>
          <w:ilvl w:val="0"/>
          <w:numId w:val="1003"/>
        </w:numPr>
      </w:pPr>
      <w:r>
        <w:t xml:space="preserve">Pandemic/health emergencies</w:t>
      </w:r>
    </w:p>
    <w:p>
      <w:pPr>
        <w:pStyle w:val="Compact"/>
        <w:numPr>
          <w:ilvl w:val="0"/>
          <w:numId w:val="1003"/>
        </w:numPr>
      </w:pPr>
      <w:r>
        <w:t xml:space="preserve">Supply chain disruptions</w:t>
      </w:r>
    </w:p>
    <w:p>
      <w:pPr>
        <w:pStyle w:val="Compact"/>
        <w:numPr>
          <w:ilvl w:val="0"/>
          <w:numId w:val="1003"/>
        </w:numPr>
      </w:pPr>
      <w:r>
        <w:t xml:space="preserve">Other significant disruptions</w:t>
      </w:r>
    </w:p>
    <w:bookmarkEnd w:id="17"/>
    <w:bookmarkStart w:id="18" w:name="activation-authority"/>
    <w:p>
      <w:pPr>
        <w:pStyle w:val="Heading3"/>
      </w:pPr>
      <w:r>
        <w:t xml:space="preserve">5.2 Activation Authority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Level 1 (Minor):</w:t>
      </w:r>
      <w:r>
        <w:t xml:space="preserve"> </w:t>
      </w:r>
      <w:r>
        <w:t xml:space="preserve">Department manager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Level 2 (Moderate):</w:t>
      </w:r>
      <w:r>
        <w:t xml:space="preserve"> </w:t>
      </w:r>
      <w:r>
        <w:t xml:space="preserve">Senior management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Level 3 (Major):</w:t>
      </w:r>
      <w:r>
        <w:t xml:space="preserve"> </w:t>
      </w:r>
      <w:r>
        <w:t xml:space="preserve">Executive management</w:t>
      </w:r>
    </w:p>
    <w:bookmarkEnd w:id="18"/>
    <w:bookmarkStart w:id="19" w:name="activation-process"/>
    <w:p>
      <w:pPr>
        <w:pStyle w:val="Heading3"/>
      </w:pPr>
      <w:r>
        <w:t xml:space="preserve">5.3 Activation Process</w:t>
      </w:r>
    </w:p>
    <w:p>
      <w:pPr>
        <w:pStyle w:val="Compact"/>
        <w:numPr>
          <w:ilvl w:val="0"/>
          <w:numId w:val="1005"/>
        </w:numPr>
      </w:pPr>
      <w:r>
        <w:t xml:space="preserve">Incident detected</w:t>
      </w:r>
    </w:p>
    <w:p>
      <w:pPr>
        <w:pStyle w:val="Compact"/>
        <w:numPr>
          <w:ilvl w:val="0"/>
          <w:numId w:val="1005"/>
        </w:numPr>
      </w:pPr>
      <w:r>
        <w:t xml:space="preserve">Impact assessment</w:t>
      </w:r>
    </w:p>
    <w:p>
      <w:pPr>
        <w:pStyle w:val="Compact"/>
        <w:numPr>
          <w:ilvl w:val="0"/>
          <w:numId w:val="1005"/>
        </w:numPr>
      </w:pPr>
      <w:r>
        <w:t xml:space="preserve">Activation decision</w:t>
      </w:r>
    </w:p>
    <w:p>
      <w:pPr>
        <w:pStyle w:val="Compact"/>
        <w:numPr>
          <w:ilvl w:val="0"/>
          <w:numId w:val="1005"/>
        </w:numPr>
      </w:pPr>
      <w:r>
        <w:t xml:space="preserve">Team notification</w:t>
      </w:r>
    </w:p>
    <w:p>
      <w:pPr>
        <w:pStyle w:val="Compact"/>
        <w:numPr>
          <w:ilvl w:val="0"/>
          <w:numId w:val="1005"/>
        </w:numPr>
      </w:pPr>
      <w:r>
        <w:t xml:space="preserve">Plan activation</w:t>
      </w:r>
    </w:p>
    <w:p>
      <w:pPr>
        <w:pStyle w:val="Compact"/>
        <w:numPr>
          <w:ilvl w:val="0"/>
          <w:numId w:val="1005"/>
        </w:numPr>
      </w:pPr>
      <w:r>
        <w:t xml:space="preserve">Status communication</w:t>
      </w:r>
    </w:p>
    <w:bookmarkEnd w:id="19"/>
    <w:bookmarkEnd w:id="20"/>
    <w:bookmarkStart w:id="24" w:name="business-continuity-strategies"/>
    <w:p>
      <w:pPr>
        <w:pStyle w:val="Heading2"/>
      </w:pPr>
      <w:r>
        <w:t xml:space="preserve">6. Business Continuity Strategies</w:t>
      </w:r>
    </w:p>
    <w:bookmarkStart w:id="21" w:name="work-location-strategies"/>
    <w:p>
      <w:pPr>
        <w:pStyle w:val="Heading3"/>
      </w:pPr>
      <w:r>
        <w:t xml:space="preserve">6.1 Work Location Strategies</w:t>
      </w:r>
    </w:p>
    <w:p>
      <w:pPr>
        <w:pStyle w:val="FirstParagraph"/>
      </w:pPr>
      <w:r>
        <w:rPr>
          <w:b/>
          <w:bCs/>
        </w:rPr>
        <w:t xml:space="preserve">Remote Work:</w:t>
      </w:r>
      <w:r>
        <w:t xml:space="preserve"> </w:t>
      </w:r>
      <w:r>
        <w:t xml:space="preserve">- Remote work capabilities</w:t>
      </w:r>
      <w:r>
        <w:t xml:space="preserve"> </w:t>
      </w:r>
      <w:r>
        <w:t xml:space="preserve">- VPN access</w:t>
      </w:r>
      <w:r>
        <w:t xml:space="preserve"> </w:t>
      </w:r>
      <w:r>
        <w:t xml:space="preserve">- Cloud-based systems</w:t>
      </w:r>
      <w:r>
        <w:t xml:space="preserve"> </w:t>
      </w:r>
      <w:r>
        <w:t xml:space="preserve">- Communication tools</w:t>
      </w:r>
    </w:p>
    <w:p>
      <w:pPr>
        <w:pStyle w:val="BodyText"/>
      </w:pPr>
      <w:r>
        <w:rPr>
          <w:b/>
          <w:bCs/>
        </w:rPr>
        <w:t xml:space="preserve">Alternate Site:</w:t>
      </w:r>
      <w:r>
        <w:t xml:space="preserve"> </w:t>
      </w:r>
      <w:r>
        <w:t xml:space="preserve">- Alternate office location</w:t>
      </w:r>
      <w:r>
        <w:t xml:space="preserve"> </w:t>
      </w:r>
      <w:r>
        <w:t xml:space="preserve">- Co-working spaces</w:t>
      </w:r>
      <w:r>
        <w:t xml:space="preserve"> </w:t>
      </w:r>
      <w:r>
        <w:t xml:space="preserve">- Temporary facilities</w:t>
      </w:r>
    </w:p>
    <w:p>
      <w:pPr>
        <w:pStyle w:val="BodyText"/>
      </w:pPr>
      <w:r>
        <w:rPr>
          <w:b/>
          <w:bCs/>
        </w:rPr>
        <w:t xml:space="preserve">Work from Home:</w:t>
      </w:r>
      <w:r>
        <w:t xml:space="preserve"> </w:t>
      </w:r>
      <w:r>
        <w:t xml:space="preserve">- Home office setup</w:t>
      </w:r>
      <w:r>
        <w:t xml:space="preserve"> </w:t>
      </w:r>
      <w:r>
        <w:t xml:space="preserve">- Equipment provision</w:t>
      </w:r>
      <w:r>
        <w:t xml:space="preserve"> </w:t>
      </w:r>
      <w:r>
        <w:t xml:space="preserve">- Internet connectivity</w:t>
      </w:r>
      <w:r>
        <w:t xml:space="preserve"> </w:t>
      </w:r>
      <w:r>
        <w:t xml:space="preserve">- Security requirements</w:t>
      </w:r>
    </w:p>
    <w:bookmarkEnd w:id="21"/>
    <w:bookmarkStart w:id="22" w:name="technology-strategies"/>
    <w:p>
      <w:pPr>
        <w:pStyle w:val="Heading3"/>
      </w:pPr>
      <w:r>
        <w:t xml:space="preserve">6.2 Technology Strategies</w:t>
      </w:r>
    </w:p>
    <w:p>
      <w:pPr>
        <w:pStyle w:val="FirstParagraph"/>
      </w:pPr>
      <w:r>
        <w:rPr>
          <w:b/>
          <w:bCs/>
        </w:rPr>
        <w:t xml:space="preserve">Cloud Services:</w:t>
      </w:r>
      <w:r>
        <w:t xml:space="preserve"> </w:t>
      </w:r>
      <w:r>
        <w:t xml:space="preserve">- Cloud-based applications</w:t>
      </w:r>
      <w:r>
        <w:t xml:space="preserve"> </w:t>
      </w:r>
      <w:r>
        <w:t xml:space="preserve">- Cloud infrastructure</w:t>
      </w:r>
      <w:r>
        <w:t xml:space="preserve"> </w:t>
      </w:r>
      <w:r>
        <w:t xml:space="preserve">- Redundant cloud regions</w:t>
      </w:r>
      <w:r>
        <w:t xml:space="preserve"> </w:t>
      </w:r>
      <w:r>
        <w:t xml:space="preserve">- Cloud backup and recovery</w:t>
      </w:r>
    </w:p>
    <w:p>
      <w:pPr>
        <w:pStyle w:val="BodyText"/>
      </w:pPr>
      <w:r>
        <w:rPr>
          <w:b/>
          <w:bCs/>
        </w:rPr>
        <w:t xml:space="preserve">Communication:</w:t>
      </w:r>
      <w:r>
        <w:t xml:space="preserve"> </w:t>
      </w:r>
      <w:r>
        <w:t xml:space="preserve">- Multiple communication channels</w:t>
      </w:r>
      <w:r>
        <w:t xml:space="preserve"> </w:t>
      </w:r>
      <w:r>
        <w:t xml:space="preserve">- Backup communication methods</w:t>
      </w:r>
      <w:r>
        <w:t xml:space="preserve"> </w:t>
      </w:r>
      <w:r>
        <w:t xml:space="preserve">- Conference calling</w:t>
      </w:r>
      <w:r>
        <w:t xml:space="preserve"> </w:t>
      </w:r>
      <w:r>
        <w:t xml:space="preserve">- Collaboration tools</w:t>
      </w:r>
    </w:p>
    <w:p>
      <w:pPr>
        <w:pStyle w:val="BodyText"/>
      </w:pPr>
      <w:r>
        <w:rPr>
          <w:b/>
          <w:bCs/>
        </w:rPr>
        <w:t xml:space="preserve">Data Access:</w:t>
      </w:r>
      <w:r>
        <w:t xml:space="preserve"> </w:t>
      </w:r>
      <w:r>
        <w:t xml:space="preserve">- Cloud storage</w:t>
      </w:r>
      <w:r>
        <w:t xml:space="preserve"> </w:t>
      </w:r>
      <w:r>
        <w:t xml:space="preserve">- Remote access</w:t>
      </w:r>
      <w:r>
        <w:t xml:space="preserve"> </w:t>
      </w:r>
      <w:r>
        <w:t xml:space="preserve">- Mobile access</w:t>
      </w:r>
      <w:r>
        <w:t xml:space="preserve"> </w:t>
      </w:r>
      <w:r>
        <w:t xml:space="preserve">- Offline capabilities</w:t>
      </w:r>
    </w:p>
    <w:bookmarkEnd w:id="22"/>
    <w:bookmarkStart w:id="23" w:name="personnel-strategies"/>
    <w:p>
      <w:pPr>
        <w:pStyle w:val="Heading3"/>
      </w:pPr>
      <w:r>
        <w:t xml:space="preserve">6.3 Personnel Strategies</w:t>
      </w:r>
    </w:p>
    <w:p>
      <w:pPr>
        <w:pStyle w:val="FirstParagraph"/>
      </w:pPr>
      <w:r>
        <w:rPr>
          <w:b/>
          <w:bCs/>
        </w:rPr>
        <w:t xml:space="preserve">Staffing:</w:t>
      </w:r>
      <w:r>
        <w:t xml:space="preserve"> </w:t>
      </w:r>
      <w:r>
        <w:t xml:space="preserve">- Cross-training</w:t>
      </w:r>
      <w:r>
        <w:t xml:space="preserve"> </w:t>
      </w:r>
      <w:r>
        <w:t xml:space="preserve">- Backup personnel</w:t>
      </w:r>
      <w:r>
        <w:t xml:space="preserve"> </w:t>
      </w:r>
      <w:r>
        <w:t xml:space="preserve">- Contractor availability</w:t>
      </w:r>
      <w:r>
        <w:t xml:space="preserve"> </w:t>
      </w:r>
      <w:r>
        <w:t xml:space="preserve">- Vendor support</w:t>
      </w:r>
    </w:p>
    <w:p>
      <w:pPr>
        <w:pStyle w:val="BodyText"/>
      </w:pPr>
      <w:r>
        <w:rPr>
          <w:b/>
          <w:bCs/>
        </w:rPr>
        <w:t xml:space="preserve">Communication:</w:t>
      </w:r>
      <w:r>
        <w:t xml:space="preserve"> </w:t>
      </w:r>
      <w:r>
        <w:t xml:space="preserve">- Employee notification system</w:t>
      </w:r>
      <w:r>
        <w:t xml:space="preserve"> </w:t>
      </w:r>
      <w:r>
        <w:t xml:space="preserve">- Status updates</w:t>
      </w:r>
      <w:r>
        <w:t xml:space="preserve"> </w:t>
      </w:r>
      <w:r>
        <w:t xml:space="preserve">- Instructions and guidance</w:t>
      </w:r>
      <w:r>
        <w:t xml:space="preserve"> </w:t>
      </w:r>
      <w:r>
        <w:t xml:space="preserve">- Support resources</w:t>
      </w:r>
    </w:p>
    <w:bookmarkEnd w:id="23"/>
    <w:bookmarkEnd w:id="24"/>
    <w:bookmarkStart w:id="29" w:name="critical-business-functions"/>
    <w:p>
      <w:pPr>
        <w:pStyle w:val="Heading2"/>
      </w:pPr>
      <w:r>
        <w:t xml:space="preserve">7. Critical Business Functions</w:t>
      </w:r>
    </w:p>
    <w:bookmarkStart w:id="25" w:name="customer-service"/>
    <w:p>
      <w:pPr>
        <w:pStyle w:val="Heading3"/>
      </w:pPr>
      <w:r>
        <w:t xml:space="preserve">7.1 Customer Service</w:t>
      </w:r>
    </w:p>
    <w:p>
      <w:pPr>
        <w:pStyle w:val="Compact"/>
        <w:numPr>
          <w:ilvl w:val="0"/>
          <w:numId w:val="1006"/>
        </w:numPr>
      </w:pPr>
      <w:r>
        <w:t xml:space="preserve">Customer support continuity</w:t>
      </w:r>
    </w:p>
    <w:p>
      <w:pPr>
        <w:pStyle w:val="Compact"/>
        <w:numPr>
          <w:ilvl w:val="0"/>
          <w:numId w:val="1006"/>
        </w:numPr>
      </w:pPr>
      <w:r>
        <w:t xml:space="preserve">Communication channels</w:t>
      </w:r>
    </w:p>
    <w:p>
      <w:pPr>
        <w:pStyle w:val="Compact"/>
        <w:numPr>
          <w:ilvl w:val="0"/>
          <w:numId w:val="1006"/>
        </w:numPr>
      </w:pPr>
      <w:r>
        <w:t xml:space="preserve">Issue resolution</w:t>
      </w:r>
    </w:p>
    <w:p>
      <w:pPr>
        <w:pStyle w:val="Compact"/>
        <w:numPr>
          <w:ilvl w:val="0"/>
          <w:numId w:val="1006"/>
        </w:numPr>
      </w:pPr>
      <w:r>
        <w:t xml:space="preserve">Customer notification</w:t>
      </w:r>
    </w:p>
    <w:bookmarkEnd w:id="25"/>
    <w:bookmarkStart w:id="26" w:name="operations"/>
    <w:p>
      <w:pPr>
        <w:pStyle w:val="Heading3"/>
      </w:pPr>
      <w:r>
        <w:t xml:space="preserve">7.2 Operations</w:t>
      </w:r>
    </w:p>
    <w:p>
      <w:pPr>
        <w:pStyle w:val="Compact"/>
        <w:numPr>
          <w:ilvl w:val="0"/>
          <w:numId w:val="1007"/>
        </w:numPr>
      </w:pPr>
      <w:r>
        <w:t xml:space="preserve">Service delivery</w:t>
      </w:r>
    </w:p>
    <w:p>
      <w:pPr>
        <w:pStyle w:val="Compact"/>
        <w:numPr>
          <w:ilvl w:val="0"/>
          <w:numId w:val="1007"/>
        </w:numPr>
      </w:pPr>
      <w:r>
        <w:t xml:space="preserve">Process execution</w:t>
      </w:r>
    </w:p>
    <w:p>
      <w:pPr>
        <w:pStyle w:val="Compact"/>
        <w:numPr>
          <w:ilvl w:val="0"/>
          <w:numId w:val="1007"/>
        </w:numPr>
      </w:pPr>
      <w:r>
        <w:t xml:space="preserve">Quality maintenance</w:t>
      </w:r>
    </w:p>
    <w:p>
      <w:pPr>
        <w:pStyle w:val="Compact"/>
        <w:numPr>
          <w:ilvl w:val="0"/>
          <w:numId w:val="1007"/>
        </w:numPr>
      </w:pPr>
      <w:r>
        <w:t xml:space="preserve">Performance monitoring</w:t>
      </w:r>
    </w:p>
    <w:bookmarkEnd w:id="26"/>
    <w:bookmarkStart w:id="27" w:name="finance"/>
    <w:p>
      <w:pPr>
        <w:pStyle w:val="Heading3"/>
      </w:pPr>
      <w:r>
        <w:t xml:space="preserve">7.3 Finance</w:t>
      </w:r>
    </w:p>
    <w:p>
      <w:pPr>
        <w:pStyle w:val="Compact"/>
        <w:numPr>
          <w:ilvl w:val="0"/>
          <w:numId w:val="1008"/>
        </w:numPr>
      </w:pPr>
      <w:r>
        <w:t xml:space="preserve">Payment processing</w:t>
      </w:r>
    </w:p>
    <w:p>
      <w:pPr>
        <w:pStyle w:val="Compact"/>
        <w:numPr>
          <w:ilvl w:val="0"/>
          <w:numId w:val="1008"/>
        </w:numPr>
      </w:pPr>
      <w:r>
        <w:t xml:space="preserve">Financial reporting</w:t>
      </w:r>
    </w:p>
    <w:p>
      <w:pPr>
        <w:pStyle w:val="Compact"/>
        <w:numPr>
          <w:ilvl w:val="0"/>
          <w:numId w:val="1008"/>
        </w:numPr>
      </w:pPr>
      <w:r>
        <w:t xml:space="preserve">Payroll processing</w:t>
      </w:r>
    </w:p>
    <w:p>
      <w:pPr>
        <w:pStyle w:val="Compact"/>
        <w:numPr>
          <w:ilvl w:val="0"/>
          <w:numId w:val="1008"/>
        </w:numPr>
      </w:pPr>
      <w:r>
        <w:t xml:space="preserve">Vendor payments</w:t>
      </w:r>
    </w:p>
    <w:bookmarkEnd w:id="27"/>
    <w:bookmarkStart w:id="28" w:name="it-services"/>
    <w:p>
      <w:pPr>
        <w:pStyle w:val="Heading3"/>
      </w:pPr>
      <w:r>
        <w:t xml:space="preserve">7.4 IT Services</w:t>
      </w:r>
    </w:p>
    <w:p>
      <w:pPr>
        <w:pStyle w:val="Compact"/>
        <w:numPr>
          <w:ilvl w:val="0"/>
          <w:numId w:val="1009"/>
        </w:numPr>
      </w:pPr>
      <w:r>
        <w:t xml:space="preserve">System availability</w:t>
      </w:r>
    </w:p>
    <w:p>
      <w:pPr>
        <w:pStyle w:val="Compact"/>
        <w:numPr>
          <w:ilvl w:val="0"/>
          <w:numId w:val="1009"/>
        </w:numPr>
      </w:pPr>
      <w:r>
        <w:t xml:space="preserve">Technical support</w:t>
      </w:r>
    </w:p>
    <w:p>
      <w:pPr>
        <w:pStyle w:val="Compact"/>
        <w:numPr>
          <w:ilvl w:val="0"/>
          <w:numId w:val="1009"/>
        </w:numPr>
      </w:pPr>
      <w:r>
        <w:t xml:space="preserve">Security maintenance</w:t>
      </w:r>
    </w:p>
    <w:p>
      <w:pPr>
        <w:pStyle w:val="Compact"/>
        <w:numPr>
          <w:ilvl w:val="0"/>
          <w:numId w:val="1009"/>
        </w:numPr>
      </w:pPr>
      <w:r>
        <w:t xml:space="preserve">Recovery operations</w:t>
      </w:r>
    </w:p>
    <w:bookmarkEnd w:id="28"/>
    <w:bookmarkEnd w:id="29"/>
    <w:bookmarkStart w:id="33" w:name="communication-procedures"/>
    <w:p>
      <w:pPr>
        <w:pStyle w:val="Heading2"/>
      </w:pPr>
      <w:r>
        <w:t xml:space="preserve">8. Communication Procedures</w:t>
      </w:r>
    </w:p>
    <w:bookmarkStart w:id="30" w:name="internal-communication"/>
    <w:p>
      <w:pPr>
        <w:pStyle w:val="Heading3"/>
      </w:pPr>
      <w:r>
        <w:t xml:space="preserve">8.1 Internal Communication</w:t>
      </w:r>
    </w:p>
    <w:p>
      <w:pPr>
        <w:pStyle w:val="Compact"/>
        <w:numPr>
          <w:ilvl w:val="0"/>
          <w:numId w:val="1010"/>
        </w:numPr>
      </w:pPr>
      <w:r>
        <w:t xml:space="preserve">Employee notification</w:t>
      </w:r>
    </w:p>
    <w:p>
      <w:pPr>
        <w:pStyle w:val="Compact"/>
        <w:numPr>
          <w:ilvl w:val="0"/>
          <w:numId w:val="1010"/>
        </w:numPr>
      </w:pPr>
      <w:r>
        <w:t xml:space="preserve">Status updates</w:t>
      </w:r>
    </w:p>
    <w:p>
      <w:pPr>
        <w:pStyle w:val="Compact"/>
        <w:numPr>
          <w:ilvl w:val="0"/>
          <w:numId w:val="1010"/>
        </w:numPr>
      </w:pPr>
      <w:r>
        <w:t xml:space="preserve">Instructions</w:t>
      </w:r>
    </w:p>
    <w:p>
      <w:pPr>
        <w:pStyle w:val="Compact"/>
        <w:numPr>
          <w:ilvl w:val="0"/>
          <w:numId w:val="1010"/>
        </w:numPr>
      </w:pPr>
      <w:r>
        <w:t xml:space="preserve">Support resources</w:t>
      </w:r>
    </w:p>
    <w:bookmarkEnd w:id="30"/>
    <w:bookmarkStart w:id="31" w:name="external-communication"/>
    <w:p>
      <w:pPr>
        <w:pStyle w:val="Heading3"/>
      </w:pPr>
      <w:r>
        <w:t xml:space="preserve">8.2 External Communication</w:t>
      </w:r>
    </w:p>
    <w:p>
      <w:pPr>
        <w:pStyle w:val="Compact"/>
        <w:numPr>
          <w:ilvl w:val="0"/>
          <w:numId w:val="1011"/>
        </w:numPr>
      </w:pPr>
      <w:r>
        <w:t xml:space="preserve">Customer notification</w:t>
      </w:r>
    </w:p>
    <w:p>
      <w:pPr>
        <w:pStyle w:val="Compact"/>
        <w:numPr>
          <w:ilvl w:val="0"/>
          <w:numId w:val="1011"/>
        </w:numPr>
      </w:pPr>
      <w:r>
        <w:t xml:space="preserve">Vendor communication</w:t>
      </w:r>
    </w:p>
    <w:p>
      <w:pPr>
        <w:pStyle w:val="Compact"/>
        <w:numPr>
          <w:ilvl w:val="0"/>
          <w:numId w:val="1011"/>
        </w:numPr>
      </w:pPr>
      <w:r>
        <w:t xml:space="preserve">Regulatory notification</w:t>
      </w:r>
    </w:p>
    <w:p>
      <w:pPr>
        <w:pStyle w:val="Compact"/>
        <w:numPr>
          <w:ilvl w:val="0"/>
          <w:numId w:val="1011"/>
        </w:numPr>
      </w:pPr>
      <w:r>
        <w:t xml:space="preserve">Media communication (if needed)</w:t>
      </w:r>
    </w:p>
    <w:bookmarkEnd w:id="31"/>
    <w:bookmarkStart w:id="32" w:name="communication-channels"/>
    <w:p>
      <w:pPr>
        <w:pStyle w:val="Heading3"/>
      </w:pPr>
      <w:r>
        <w:t xml:space="preserve">8.3 Communication Channels</w:t>
      </w:r>
    </w:p>
    <w:p>
      <w:pPr>
        <w:pStyle w:val="Compact"/>
        <w:numPr>
          <w:ilvl w:val="0"/>
          <w:numId w:val="1012"/>
        </w:numPr>
      </w:pPr>
      <w:r>
        <w:t xml:space="preserve">Email</w:t>
      </w:r>
    </w:p>
    <w:p>
      <w:pPr>
        <w:pStyle w:val="Compact"/>
        <w:numPr>
          <w:ilvl w:val="0"/>
          <w:numId w:val="1012"/>
        </w:numPr>
      </w:pPr>
      <w:r>
        <w:t xml:space="preserve">Phone</w:t>
      </w:r>
    </w:p>
    <w:p>
      <w:pPr>
        <w:pStyle w:val="Compact"/>
        <w:numPr>
          <w:ilvl w:val="0"/>
          <w:numId w:val="1012"/>
        </w:numPr>
      </w:pPr>
      <w:r>
        <w:t xml:space="preserve">SMS</w:t>
      </w:r>
    </w:p>
    <w:p>
      <w:pPr>
        <w:pStyle w:val="Compact"/>
        <w:numPr>
          <w:ilvl w:val="0"/>
          <w:numId w:val="1012"/>
        </w:numPr>
      </w:pPr>
      <w:r>
        <w:t xml:space="preserve">Collaboration platforms</w:t>
      </w:r>
    </w:p>
    <w:p>
      <w:pPr>
        <w:pStyle w:val="Compact"/>
        <w:numPr>
          <w:ilvl w:val="0"/>
          <w:numId w:val="1012"/>
        </w:numPr>
      </w:pPr>
      <w:r>
        <w:t xml:space="preserve">Website updates</w:t>
      </w:r>
    </w:p>
    <w:bookmarkEnd w:id="32"/>
    <w:bookmarkEnd w:id="33"/>
    <w:bookmarkStart w:id="37" w:name="recovery-procedures"/>
    <w:p>
      <w:pPr>
        <w:pStyle w:val="Heading2"/>
      </w:pPr>
      <w:r>
        <w:t xml:space="preserve">9. Recovery Procedures</w:t>
      </w:r>
    </w:p>
    <w:bookmarkStart w:id="34" w:name="immediate-actions"/>
    <w:p>
      <w:pPr>
        <w:pStyle w:val="Heading3"/>
      </w:pPr>
      <w:r>
        <w:t xml:space="preserve">9.1 Immediate Actions</w:t>
      </w:r>
    </w:p>
    <w:p>
      <w:pPr>
        <w:pStyle w:val="Compact"/>
        <w:numPr>
          <w:ilvl w:val="0"/>
          <w:numId w:val="1013"/>
        </w:numPr>
      </w:pPr>
      <w:r>
        <w:t xml:space="preserve">Assess situation</w:t>
      </w:r>
    </w:p>
    <w:p>
      <w:pPr>
        <w:pStyle w:val="Compact"/>
        <w:numPr>
          <w:ilvl w:val="0"/>
          <w:numId w:val="1013"/>
        </w:numPr>
      </w:pPr>
      <w:r>
        <w:t xml:space="preserve">Activate team</w:t>
      </w:r>
    </w:p>
    <w:p>
      <w:pPr>
        <w:pStyle w:val="Compact"/>
        <w:numPr>
          <w:ilvl w:val="0"/>
          <w:numId w:val="1013"/>
        </w:numPr>
      </w:pPr>
      <w:r>
        <w:t xml:space="preserve">Notify stakeholders</w:t>
      </w:r>
    </w:p>
    <w:p>
      <w:pPr>
        <w:pStyle w:val="Compact"/>
        <w:numPr>
          <w:ilvl w:val="0"/>
          <w:numId w:val="1013"/>
        </w:numPr>
      </w:pPr>
      <w:r>
        <w:t xml:space="preserve">Implement workarounds</w:t>
      </w:r>
    </w:p>
    <w:p>
      <w:pPr>
        <w:pStyle w:val="Compact"/>
        <w:numPr>
          <w:ilvl w:val="0"/>
          <w:numId w:val="1013"/>
        </w:numPr>
      </w:pPr>
      <w:r>
        <w:t xml:space="preserve">Begin recovery</w:t>
      </w:r>
    </w:p>
    <w:bookmarkEnd w:id="34"/>
    <w:bookmarkStart w:id="35" w:name="short-term-actions-0-24-hours"/>
    <w:p>
      <w:pPr>
        <w:pStyle w:val="Heading3"/>
      </w:pPr>
      <w:r>
        <w:t xml:space="preserve">9.2 Short-Term Actions (0-24 hours)</w:t>
      </w:r>
    </w:p>
    <w:p>
      <w:pPr>
        <w:pStyle w:val="Compact"/>
        <w:numPr>
          <w:ilvl w:val="0"/>
          <w:numId w:val="1014"/>
        </w:numPr>
      </w:pPr>
      <w:r>
        <w:t xml:space="preserve">Establish alternate operations</w:t>
      </w:r>
    </w:p>
    <w:p>
      <w:pPr>
        <w:pStyle w:val="Compact"/>
        <w:numPr>
          <w:ilvl w:val="0"/>
          <w:numId w:val="1014"/>
        </w:numPr>
      </w:pPr>
      <w:r>
        <w:t xml:space="preserve">Restore critical systems</w:t>
      </w:r>
    </w:p>
    <w:p>
      <w:pPr>
        <w:pStyle w:val="Compact"/>
        <w:numPr>
          <w:ilvl w:val="0"/>
          <w:numId w:val="1014"/>
        </w:numPr>
      </w:pPr>
      <w:r>
        <w:t xml:space="preserve">Resume critical functions</w:t>
      </w:r>
    </w:p>
    <w:p>
      <w:pPr>
        <w:pStyle w:val="Compact"/>
        <w:numPr>
          <w:ilvl w:val="0"/>
          <w:numId w:val="1014"/>
        </w:numPr>
      </w:pPr>
      <w:r>
        <w:t xml:space="preserve">Maintain communication</w:t>
      </w:r>
    </w:p>
    <w:p>
      <w:pPr>
        <w:pStyle w:val="Compact"/>
        <w:numPr>
          <w:ilvl w:val="0"/>
          <w:numId w:val="1014"/>
        </w:numPr>
      </w:pPr>
      <w:r>
        <w:t xml:space="preserve">Monitor situation</w:t>
      </w:r>
    </w:p>
    <w:bookmarkEnd w:id="35"/>
    <w:bookmarkStart w:id="36" w:name="long-term-actions-24-hours"/>
    <w:p>
      <w:pPr>
        <w:pStyle w:val="Heading3"/>
      </w:pPr>
      <w:r>
        <w:t xml:space="preserve">9.3 Long-Term Actions (24+ hours)</w:t>
      </w:r>
    </w:p>
    <w:p>
      <w:pPr>
        <w:pStyle w:val="Compact"/>
        <w:numPr>
          <w:ilvl w:val="0"/>
          <w:numId w:val="1015"/>
        </w:numPr>
      </w:pPr>
      <w:r>
        <w:t xml:space="preserve">Full system restoration</w:t>
      </w:r>
    </w:p>
    <w:p>
      <w:pPr>
        <w:pStyle w:val="Compact"/>
        <w:numPr>
          <w:ilvl w:val="0"/>
          <w:numId w:val="1015"/>
        </w:numPr>
      </w:pPr>
      <w:r>
        <w:t xml:space="preserve">Complete business resumption</w:t>
      </w:r>
    </w:p>
    <w:p>
      <w:pPr>
        <w:pStyle w:val="Compact"/>
        <w:numPr>
          <w:ilvl w:val="0"/>
          <w:numId w:val="1015"/>
        </w:numPr>
      </w:pPr>
      <w:r>
        <w:t xml:space="preserve">Post-incident review</w:t>
      </w:r>
    </w:p>
    <w:p>
      <w:pPr>
        <w:pStyle w:val="Compact"/>
        <w:numPr>
          <w:ilvl w:val="0"/>
          <w:numId w:val="1015"/>
        </w:numPr>
      </w:pPr>
      <w:r>
        <w:t xml:space="preserve">Plan updates</w:t>
      </w:r>
    </w:p>
    <w:p>
      <w:pPr>
        <w:pStyle w:val="Compact"/>
        <w:numPr>
          <w:ilvl w:val="0"/>
          <w:numId w:val="1015"/>
        </w:numPr>
      </w:pPr>
      <w:r>
        <w:t xml:space="preserve">Lessons learned</w:t>
      </w:r>
    </w:p>
    <w:bookmarkEnd w:id="36"/>
    <w:bookmarkEnd w:id="37"/>
    <w:bookmarkStart w:id="41" w:name="testing-and-maintenance"/>
    <w:p>
      <w:pPr>
        <w:pStyle w:val="Heading2"/>
      </w:pPr>
      <w:r>
        <w:t xml:space="preserve">10. Testing and Maintenance</w:t>
      </w:r>
    </w:p>
    <w:bookmarkStart w:id="38" w:name="testing-schedule"/>
    <w:p>
      <w:pPr>
        <w:pStyle w:val="Heading3"/>
      </w:pPr>
      <w:r>
        <w:t xml:space="preserve">10.1 Testing Schedule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Tabletop Exercises:</w:t>
      </w:r>
      <w:r>
        <w:t xml:space="preserve"> </w:t>
      </w:r>
      <w:r>
        <w:t xml:space="preserve">Quarterly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Functional Testing:</w:t>
      </w:r>
      <w:r>
        <w:t xml:space="preserve"> </w:t>
      </w:r>
      <w:r>
        <w:t xml:space="preserve">Annually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Full BCP Testing:</w:t>
      </w:r>
      <w:r>
        <w:t xml:space="preserve"> </w:t>
      </w:r>
      <w:r>
        <w:t xml:space="preserve">Annually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Component Testing:</w:t>
      </w:r>
      <w:r>
        <w:t xml:space="preserve"> </w:t>
      </w:r>
      <w:r>
        <w:t xml:space="preserve">As needed</w:t>
      </w:r>
    </w:p>
    <w:bookmarkEnd w:id="38"/>
    <w:bookmarkStart w:id="39" w:name="testing-types"/>
    <w:p>
      <w:pPr>
        <w:pStyle w:val="Heading3"/>
      </w:pPr>
      <w:r>
        <w:t xml:space="preserve">10.2 Testing Types</w:t>
      </w:r>
    </w:p>
    <w:p>
      <w:pPr>
        <w:pStyle w:val="Compact"/>
        <w:numPr>
          <w:ilvl w:val="0"/>
          <w:numId w:val="1017"/>
        </w:numPr>
      </w:pPr>
      <w:r>
        <w:t xml:space="preserve">Tabletop exercises</w:t>
      </w:r>
    </w:p>
    <w:p>
      <w:pPr>
        <w:pStyle w:val="Compact"/>
        <w:numPr>
          <w:ilvl w:val="0"/>
          <w:numId w:val="1017"/>
        </w:numPr>
      </w:pPr>
      <w:r>
        <w:t xml:space="preserve">Functional testing</w:t>
      </w:r>
    </w:p>
    <w:p>
      <w:pPr>
        <w:pStyle w:val="Compact"/>
        <w:numPr>
          <w:ilvl w:val="0"/>
          <w:numId w:val="1017"/>
        </w:numPr>
      </w:pPr>
      <w:r>
        <w:t xml:space="preserve">Full BCP testing</w:t>
      </w:r>
    </w:p>
    <w:p>
      <w:pPr>
        <w:pStyle w:val="Compact"/>
        <w:numPr>
          <w:ilvl w:val="0"/>
          <w:numId w:val="1017"/>
        </w:numPr>
      </w:pPr>
      <w:r>
        <w:t xml:space="preserve">Component testing</w:t>
      </w:r>
    </w:p>
    <w:p>
      <w:pPr>
        <w:pStyle w:val="Compact"/>
        <w:numPr>
          <w:ilvl w:val="0"/>
          <w:numId w:val="1017"/>
        </w:numPr>
      </w:pPr>
      <w:r>
        <w:t xml:space="preserve">Communication testing</w:t>
      </w:r>
    </w:p>
    <w:bookmarkEnd w:id="39"/>
    <w:bookmarkStart w:id="40" w:name="maintenance"/>
    <w:p>
      <w:pPr>
        <w:pStyle w:val="Heading3"/>
      </w:pPr>
      <w:r>
        <w:t xml:space="preserve">10.3 Maintenance</w:t>
      </w:r>
    </w:p>
    <w:p>
      <w:pPr>
        <w:pStyle w:val="Compact"/>
        <w:numPr>
          <w:ilvl w:val="0"/>
          <w:numId w:val="1018"/>
        </w:numPr>
      </w:pPr>
      <w:r>
        <w:t xml:space="preserve">Regular plan reviews</w:t>
      </w:r>
    </w:p>
    <w:p>
      <w:pPr>
        <w:pStyle w:val="Compact"/>
        <w:numPr>
          <w:ilvl w:val="0"/>
          <w:numId w:val="1018"/>
        </w:numPr>
      </w:pPr>
      <w:r>
        <w:t xml:space="preserve">Update contact information</w:t>
      </w:r>
    </w:p>
    <w:p>
      <w:pPr>
        <w:pStyle w:val="Compact"/>
        <w:numPr>
          <w:ilvl w:val="0"/>
          <w:numId w:val="1018"/>
        </w:numPr>
      </w:pPr>
      <w:r>
        <w:t xml:space="preserve">Update procedures</w:t>
      </w:r>
    </w:p>
    <w:p>
      <w:pPr>
        <w:pStyle w:val="Compact"/>
        <w:numPr>
          <w:ilvl w:val="0"/>
          <w:numId w:val="1018"/>
        </w:numPr>
      </w:pPr>
      <w:r>
        <w:t xml:space="preserve">Update technology</w:t>
      </w:r>
    </w:p>
    <w:p>
      <w:pPr>
        <w:pStyle w:val="Compact"/>
        <w:numPr>
          <w:ilvl w:val="0"/>
          <w:numId w:val="1018"/>
        </w:numPr>
      </w:pPr>
      <w:r>
        <w:t xml:space="preserve">Training updates</w:t>
      </w:r>
    </w:p>
    <w:bookmarkEnd w:id="40"/>
    <w:bookmarkEnd w:id="41"/>
    <w:bookmarkStart w:id="44" w:name="training-and-awareness"/>
    <w:p>
      <w:pPr>
        <w:pStyle w:val="Heading2"/>
      </w:pPr>
      <w:r>
        <w:t xml:space="preserve">11. Training and Awareness</w:t>
      </w:r>
    </w:p>
    <w:bookmarkStart w:id="42" w:name="training-requirements"/>
    <w:p>
      <w:pPr>
        <w:pStyle w:val="Heading3"/>
      </w:pPr>
      <w:r>
        <w:t xml:space="preserve">11.1 Training Requirements</w:t>
      </w:r>
    </w:p>
    <w:p>
      <w:pPr>
        <w:pStyle w:val="Compact"/>
        <w:numPr>
          <w:ilvl w:val="0"/>
          <w:numId w:val="1019"/>
        </w:numPr>
      </w:pPr>
      <w:r>
        <w:t xml:space="preserve">BCP training for all personnel</w:t>
      </w:r>
    </w:p>
    <w:p>
      <w:pPr>
        <w:pStyle w:val="Compact"/>
        <w:numPr>
          <w:ilvl w:val="0"/>
          <w:numId w:val="1019"/>
        </w:numPr>
      </w:pPr>
      <w:r>
        <w:t xml:space="preserve">Role-specific training</w:t>
      </w:r>
    </w:p>
    <w:p>
      <w:pPr>
        <w:pStyle w:val="Compact"/>
        <w:numPr>
          <w:ilvl w:val="0"/>
          <w:numId w:val="1019"/>
        </w:numPr>
      </w:pPr>
      <w:r>
        <w:t xml:space="preserve">Annual refresher training</w:t>
      </w:r>
    </w:p>
    <w:p>
      <w:pPr>
        <w:pStyle w:val="Compact"/>
        <w:numPr>
          <w:ilvl w:val="0"/>
          <w:numId w:val="1019"/>
        </w:numPr>
      </w:pPr>
      <w:r>
        <w:t xml:space="preserve">New employee training</w:t>
      </w:r>
    </w:p>
    <w:bookmarkEnd w:id="42"/>
    <w:bookmarkStart w:id="43" w:name="awareness"/>
    <w:p>
      <w:pPr>
        <w:pStyle w:val="Heading3"/>
      </w:pPr>
      <w:r>
        <w:t xml:space="preserve">11.2 Awareness</w:t>
      </w:r>
    </w:p>
    <w:p>
      <w:pPr>
        <w:pStyle w:val="Compact"/>
        <w:numPr>
          <w:ilvl w:val="0"/>
          <w:numId w:val="1020"/>
        </w:numPr>
      </w:pPr>
      <w:r>
        <w:t xml:space="preserve">Regular BCP communications</w:t>
      </w:r>
    </w:p>
    <w:p>
      <w:pPr>
        <w:pStyle w:val="Compact"/>
        <w:numPr>
          <w:ilvl w:val="0"/>
          <w:numId w:val="1020"/>
        </w:numPr>
      </w:pPr>
      <w:r>
        <w:t xml:space="preserve">Awareness campaigns</w:t>
      </w:r>
    </w:p>
    <w:p>
      <w:pPr>
        <w:pStyle w:val="Compact"/>
        <w:numPr>
          <w:ilvl w:val="0"/>
          <w:numId w:val="1020"/>
        </w:numPr>
      </w:pPr>
      <w:r>
        <w:t xml:space="preserve">Policy updates</w:t>
      </w:r>
    </w:p>
    <w:p>
      <w:pPr>
        <w:pStyle w:val="Compact"/>
        <w:numPr>
          <w:ilvl w:val="0"/>
          <w:numId w:val="1020"/>
        </w:numPr>
      </w:pPr>
      <w:r>
        <w:t xml:space="preserve">Lessons learned sharing</w:t>
      </w:r>
    </w:p>
    <w:bookmarkEnd w:id="43"/>
    <w:bookmarkEnd w:id="44"/>
    <w:bookmarkStart w:id="45" w:name="related-plans"/>
    <w:p>
      <w:pPr>
        <w:pStyle w:val="Heading2"/>
      </w:pPr>
      <w:r>
        <w:t xml:space="preserve">12. Related Plans</w:t>
      </w:r>
    </w:p>
    <w:p>
      <w:pPr>
        <w:pStyle w:val="Compact"/>
        <w:numPr>
          <w:ilvl w:val="0"/>
          <w:numId w:val="1021"/>
        </w:numPr>
      </w:pPr>
      <w:r>
        <w:t xml:space="preserve">Disaster Recovery Plan</w:t>
      </w:r>
    </w:p>
    <w:p>
      <w:pPr>
        <w:pStyle w:val="Compact"/>
        <w:numPr>
          <w:ilvl w:val="0"/>
          <w:numId w:val="1021"/>
        </w:numPr>
      </w:pPr>
      <w:r>
        <w:t xml:space="preserve">Incident Response Policy</w:t>
      </w:r>
    </w:p>
    <w:p>
      <w:pPr>
        <w:pStyle w:val="Compact"/>
        <w:numPr>
          <w:ilvl w:val="0"/>
          <w:numId w:val="1021"/>
        </w:numPr>
      </w:pPr>
      <w:r>
        <w:t xml:space="preserve">Crisis Management Plan</w:t>
      </w:r>
    </w:p>
    <w:p>
      <w:pPr>
        <w:pStyle w:val="Compact"/>
        <w:numPr>
          <w:ilvl w:val="0"/>
          <w:numId w:val="1021"/>
        </w:numPr>
      </w:pPr>
      <w:r>
        <w:t xml:space="preserve">Pandemic Response Plan</w:t>
      </w:r>
    </w:p>
    <w:bookmarkEnd w:id="45"/>
    <w:bookmarkStart w:id="48" w:name="compliance"/>
    <w:p>
      <w:pPr>
        <w:pStyle w:val="Heading2"/>
      </w:pPr>
      <w:r>
        <w:t xml:space="preserve">13. Compliance</w:t>
      </w:r>
    </w:p>
    <w:bookmarkStart w:id="46" w:name="soc-2-availability"/>
    <w:p>
      <w:pPr>
        <w:pStyle w:val="Heading3"/>
      </w:pPr>
      <w:r>
        <w:t xml:space="preserve">13.1 SOC 2 Availability</w:t>
      </w:r>
    </w:p>
    <w:p>
      <w:pPr>
        <w:pStyle w:val="Compact"/>
        <w:numPr>
          <w:ilvl w:val="0"/>
          <w:numId w:val="1022"/>
        </w:numPr>
      </w:pPr>
      <w:r>
        <w:t xml:space="preserve">Business continuity planning</w:t>
      </w:r>
    </w:p>
    <w:p>
      <w:pPr>
        <w:pStyle w:val="Compact"/>
        <w:numPr>
          <w:ilvl w:val="0"/>
          <w:numId w:val="1022"/>
        </w:numPr>
      </w:pPr>
      <w:r>
        <w:t xml:space="preserve">Recovery procedures</w:t>
      </w:r>
    </w:p>
    <w:p>
      <w:pPr>
        <w:pStyle w:val="Compact"/>
        <w:numPr>
          <w:ilvl w:val="0"/>
          <w:numId w:val="1022"/>
        </w:numPr>
      </w:pPr>
      <w:r>
        <w:t xml:space="preserve">Testing and maintenance</w:t>
      </w:r>
    </w:p>
    <w:p>
      <w:pPr>
        <w:pStyle w:val="Compact"/>
        <w:numPr>
          <w:ilvl w:val="0"/>
          <w:numId w:val="1022"/>
        </w:numPr>
      </w:pPr>
      <w:r>
        <w:t xml:space="preserve">Documentation</w:t>
      </w:r>
    </w:p>
    <w:bookmarkEnd w:id="46"/>
    <w:bookmarkStart w:id="47" w:name="regulatory-requirements"/>
    <w:p>
      <w:pPr>
        <w:pStyle w:val="Heading3"/>
      </w:pPr>
      <w:r>
        <w:t xml:space="preserve">13.2 Regulatory Requirements</w:t>
      </w:r>
    </w:p>
    <w:p>
      <w:pPr>
        <w:pStyle w:val="Compact"/>
        <w:numPr>
          <w:ilvl w:val="0"/>
          <w:numId w:val="1023"/>
        </w:numPr>
      </w:pPr>
      <w:r>
        <w:t xml:space="preserve">Business continuity for regulated industries</w:t>
      </w:r>
    </w:p>
    <w:p>
      <w:pPr>
        <w:pStyle w:val="Compact"/>
        <w:numPr>
          <w:ilvl w:val="0"/>
          <w:numId w:val="1023"/>
        </w:numPr>
      </w:pPr>
      <w:r>
        <w:t xml:space="preserve">Regulatory notification requirements</w:t>
      </w:r>
    </w:p>
    <w:p>
      <w:pPr>
        <w:pStyle w:val="Compact"/>
        <w:numPr>
          <w:ilvl w:val="0"/>
          <w:numId w:val="1023"/>
        </w:numPr>
      </w:pPr>
      <w:r>
        <w:t xml:space="preserve">Compliance maintenance during disruptions</w:t>
      </w:r>
    </w:p>
    <w:bookmarkEnd w:id="47"/>
    <w:bookmarkEnd w:id="48"/>
    <w:bookmarkStart w:id="49" w:name="review-and-updates"/>
    <w:p>
      <w:pPr>
        <w:pStyle w:val="Heading2"/>
      </w:pPr>
      <w:r>
        <w:t xml:space="preserve">14. Review and Updates</w:t>
      </w:r>
    </w:p>
    <w:p>
      <w:pPr>
        <w:pStyle w:val="FirstParagraph"/>
      </w:pPr>
      <w:r>
        <w:t xml:space="preserve">This plan is reviewed:</w:t>
      </w:r>
      <w:r>
        <w:t xml:space="preserve"> </w:t>
      </w:r>
      <w:r>
        <w:t xml:space="preserve">- Annually</w:t>
      </w:r>
      <w:r>
        <w:t xml:space="preserve"> </w:t>
      </w:r>
      <w:r>
        <w:t xml:space="preserve">- Following major incidents</w:t>
      </w:r>
      <w:r>
        <w:t xml:space="preserve"> </w:t>
      </w:r>
      <w:r>
        <w:t xml:space="preserve">- Following organizational changes</w:t>
      </w:r>
      <w:r>
        <w:t xml:space="preserve"> </w:t>
      </w:r>
      <w:r>
        <w:t xml:space="preserve">- Following technology changes</w:t>
      </w:r>
      <w:r>
        <w:t xml:space="preserve"> </w:t>
      </w:r>
      <w:r>
        <w:t xml:space="preserve">- Following regulatory changes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Control: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December 2025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Next Review:</w:t>
      </w:r>
      <w:r>
        <w:t xml:space="preserve"> </w:t>
      </w:r>
      <w:r>
        <w:t xml:space="preserve">December 2026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Approved By:</w:t>
      </w:r>
      <w:r>
        <w:t xml:space="preserve"> </w:t>
      </w:r>
      <w:r>
        <w:t xml:space="preserve">[To be completed]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Distribution:</w:t>
      </w:r>
      <w:r>
        <w:t xml:space="preserve"> </w:t>
      </w:r>
      <w:r>
        <w:t xml:space="preserve">All employees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2025-12-02T21:00:30Z</dcterms:created>
  <dcterms:modified xsi:type="dcterms:W3CDTF">2025-12-02T21:00:30Z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