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curity-and-compliance-training-plan"/>
    <w:p>
      <w:pPr>
        <w:pStyle w:val="Heading1"/>
      </w:pPr>
      <w:r>
        <w:t xml:space="preserve">Security and Compliance Training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training plan establishes security and compliance training requirements for all EcoMetricx personnel to ensure awareness of security policies, procedures, and best practices. This plan supports SOC 2 Trust Service Criteria CC2.1 (Communication and Information).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plan applies to:</w:t>
      </w:r>
      <w:r>
        <w:t xml:space="preserve"> </w:t>
      </w:r>
      <w:r>
        <w:t xml:space="preserve">- All employees</w:t>
      </w:r>
      <w:r>
        <w:t xml:space="preserve"> </w:t>
      </w:r>
      <w:r>
        <w:t xml:space="preserve">- All contractors</w:t>
      </w:r>
      <w:r>
        <w:t xml:space="preserve"> </w:t>
      </w:r>
      <w:r>
        <w:t xml:space="preserve">- All vendors with system access</w:t>
      </w:r>
      <w:r>
        <w:t xml:space="preserve"> </w:t>
      </w:r>
      <w:r>
        <w:t xml:space="preserve">- All third parties with data access</w:t>
      </w:r>
    </w:p>
    <w:bookmarkEnd w:id="10"/>
    <w:bookmarkStart w:id="11" w:name="training-objectives"/>
    <w:p>
      <w:pPr>
        <w:pStyle w:val="Heading2"/>
      </w:pPr>
      <w:r>
        <w:t xml:space="preserve">3. Training Objectives</w:t>
      </w:r>
    </w:p>
    <w:p>
      <w:pPr>
        <w:pStyle w:val="Compact"/>
        <w:numPr>
          <w:ilvl w:val="0"/>
          <w:numId w:val="1001"/>
        </w:numPr>
      </w:pPr>
      <w:r>
        <w:t xml:space="preserve">Ensure personnel understand security policies and procedures</w:t>
      </w:r>
    </w:p>
    <w:p>
      <w:pPr>
        <w:pStyle w:val="Compact"/>
        <w:numPr>
          <w:ilvl w:val="0"/>
          <w:numId w:val="1001"/>
        </w:numPr>
      </w:pPr>
      <w:r>
        <w:t xml:space="preserve">Promote security awareness and best practices</w:t>
      </w:r>
    </w:p>
    <w:p>
      <w:pPr>
        <w:pStyle w:val="Compact"/>
        <w:numPr>
          <w:ilvl w:val="0"/>
          <w:numId w:val="1001"/>
        </w:numPr>
      </w:pPr>
      <w:r>
        <w:t xml:space="preserve">Reduce security risks through education</w:t>
      </w:r>
    </w:p>
    <w:p>
      <w:pPr>
        <w:pStyle w:val="Compact"/>
        <w:numPr>
          <w:ilvl w:val="0"/>
          <w:numId w:val="1001"/>
        </w:numPr>
      </w:pPr>
      <w:r>
        <w:t xml:space="preserve">Meet compliance and regulatory requirements</w:t>
      </w:r>
    </w:p>
    <w:p>
      <w:pPr>
        <w:pStyle w:val="Compact"/>
        <w:numPr>
          <w:ilvl w:val="0"/>
          <w:numId w:val="1001"/>
        </w:numPr>
      </w:pPr>
      <w:r>
        <w:t xml:space="preserve">Foster a security-conscious culture</w:t>
      </w:r>
    </w:p>
    <w:bookmarkEnd w:id="11"/>
    <w:bookmarkStart w:id="14" w:name="training-requirements"/>
    <w:p>
      <w:pPr>
        <w:pStyle w:val="Heading2"/>
      </w:pPr>
      <w:r>
        <w:t xml:space="preserve">4. Training Requirements</w:t>
      </w:r>
    </w:p>
    <w:bookmarkStart w:id="12" w:name="mandatory-training"/>
    <w:p>
      <w:pPr>
        <w:pStyle w:val="Heading3"/>
      </w:pPr>
      <w:r>
        <w:t xml:space="preserve">4.1 Mandatory Training</w:t>
      </w:r>
    </w:p>
    <w:p>
      <w:pPr>
        <w:pStyle w:val="FirstParagraph"/>
      </w:pPr>
      <w:r>
        <w:rPr>
          <w:b/>
          <w:bCs/>
        </w:rPr>
        <w:t xml:space="preserve">All Personnel:</w:t>
      </w:r>
      <w:r>
        <w:t xml:space="preserve"> </w:t>
      </w:r>
      <w:r>
        <w:t xml:space="preserve">- Information Security Awareness (annual)</w:t>
      </w:r>
      <w:r>
        <w:t xml:space="preserve"> </w:t>
      </w:r>
      <w:r>
        <w:t xml:space="preserve">- Acceptable Use Policy (annual)</w:t>
      </w:r>
      <w:r>
        <w:t xml:space="preserve"> </w:t>
      </w:r>
      <w:r>
        <w:t xml:space="preserve">- Data Classification and Handling (annual)</w:t>
      </w:r>
      <w:r>
        <w:t xml:space="preserve"> </w:t>
      </w:r>
      <w:r>
        <w:t xml:space="preserve">- Incident Reporting (annual)</w:t>
      </w:r>
      <w:r>
        <w:t xml:space="preserve"> </w:t>
      </w:r>
      <w:r>
        <w:t xml:space="preserve">- Phishing Awareness (annual)</w:t>
      </w:r>
    </w:p>
    <w:p>
      <w:pPr>
        <w:pStyle w:val="BodyText"/>
      </w:pPr>
      <w:r>
        <w:rPr>
          <w:b/>
          <w:bCs/>
        </w:rPr>
        <w:t xml:space="preserve">Role-Specific Training:</w:t>
      </w:r>
      <w:r>
        <w:t xml:space="preserve"> </w:t>
      </w:r>
      <w:r>
        <w:t xml:space="preserve">- Administrators: Advanced security training</w:t>
      </w:r>
      <w:r>
        <w:t xml:space="preserve"> </w:t>
      </w:r>
      <w:r>
        <w:t xml:space="preserve">- Developers: Secure coding practices</w:t>
      </w:r>
      <w:r>
        <w:t xml:space="preserve"> </w:t>
      </w:r>
      <w:r>
        <w:t xml:space="preserve">- Data handlers: Data protection training</w:t>
      </w:r>
      <w:r>
        <w:t xml:space="preserve"> </w:t>
      </w:r>
      <w:r>
        <w:t xml:space="preserve">- Managers: Security management training</w:t>
      </w:r>
    </w:p>
    <w:bookmarkEnd w:id="12"/>
    <w:bookmarkStart w:id="13" w:name="training-frequency"/>
    <w:p>
      <w:pPr>
        <w:pStyle w:val="Heading3"/>
      </w:pPr>
      <w:r>
        <w:t xml:space="preserve">4.2 Training Frequency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Hire Training:</w:t>
      </w:r>
      <w:r>
        <w:t xml:space="preserve"> </w:t>
      </w:r>
      <w:r>
        <w:t xml:space="preserve">Within 30 days of hire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Training:</w:t>
      </w:r>
      <w:r>
        <w:t xml:space="preserve"> </w:t>
      </w:r>
      <w:r>
        <w:t xml:space="preserve">All personnel annually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Role-Specific Training:</w:t>
      </w:r>
      <w:r>
        <w:t xml:space="preserve"> </w:t>
      </w:r>
      <w:r>
        <w:t xml:space="preserve">As required by role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Updates:</w:t>
      </w:r>
      <w:r>
        <w:t xml:space="preserve"> </w:t>
      </w:r>
      <w:r>
        <w:t xml:space="preserve">Within 30 days of policy update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Incident-Based Training:</w:t>
      </w:r>
      <w:r>
        <w:t xml:space="preserve"> </w:t>
      </w:r>
      <w:r>
        <w:t xml:space="preserve">Following security incidents</w:t>
      </w:r>
    </w:p>
    <w:bookmarkEnd w:id="13"/>
    <w:bookmarkEnd w:id="14"/>
    <w:bookmarkStart w:id="17" w:name="training-topics"/>
    <w:p>
      <w:pPr>
        <w:pStyle w:val="Heading2"/>
      </w:pPr>
      <w:r>
        <w:t xml:space="preserve">5. Training Topics</w:t>
      </w:r>
    </w:p>
    <w:bookmarkStart w:id="15" w:name="core-security-topics"/>
    <w:p>
      <w:pPr>
        <w:pStyle w:val="Heading3"/>
      </w:pPr>
      <w:r>
        <w:t xml:space="preserve">5.1 Core Security Topics</w:t>
      </w:r>
    </w:p>
    <w:p>
      <w:pPr>
        <w:pStyle w:val="FirstParagraph"/>
      </w:pPr>
      <w:r>
        <w:rPr>
          <w:b/>
          <w:bCs/>
        </w:rPr>
        <w:t xml:space="preserve">Information Security Fundamentals:</w:t>
      </w:r>
      <w:r>
        <w:t xml:space="preserve"> </w:t>
      </w:r>
      <w:r>
        <w:t xml:space="preserve">- Information security principles</w:t>
      </w:r>
      <w:r>
        <w:t xml:space="preserve"> </w:t>
      </w:r>
      <w:r>
        <w:t xml:space="preserve">- Confidentiality, integrity, availability</w:t>
      </w:r>
      <w:r>
        <w:t xml:space="preserve"> </w:t>
      </w:r>
      <w:r>
        <w:t xml:space="preserve">- Security threats and vulnerabilities</w:t>
      </w:r>
      <w:r>
        <w:t xml:space="preserve"> </w:t>
      </w:r>
      <w:r>
        <w:t xml:space="preserve">- Security best practices</w:t>
      </w:r>
    </w:p>
    <w:p>
      <w:pPr>
        <w:pStyle w:val="BodyText"/>
      </w:pPr>
      <w:r>
        <w:rPr>
          <w:b/>
          <w:bCs/>
        </w:rPr>
        <w:t xml:space="preserve">Policy and Compliance:</w:t>
      </w:r>
      <w:r>
        <w:t xml:space="preserve"> </w:t>
      </w:r>
      <w:r>
        <w:t xml:space="preserve">- Information Security Policy</w:t>
      </w:r>
      <w:r>
        <w:t xml:space="preserve"> </w:t>
      </w:r>
      <w:r>
        <w:t xml:space="preserve">- Acceptable Use Policy</w:t>
      </w:r>
      <w:r>
        <w:t xml:space="preserve"> </w:t>
      </w:r>
      <w:r>
        <w:t xml:space="preserve">- Access Control Policy</w:t>
      </w:r>
      <w:r>
        <w:t xml:space="preserve"> </w:t>
      </w:r>
      <w:r>
        <w:t xml:space="preserve">- Data Classification and Handling Policy</w:t>
      </w:r>
      <w:r>
        <w:t xml:space="preserve"> </w:t>
      </w:r>
      <w:r>
        <w:t xml:space="preserve">- Privacy Management Policy</w:t>
      </w:r>
      <w:r>
        <w:t xml:space="preserve"> </w:t>
      </w:r>
      <w:r>
        <w:t xml:space="preserve">- SOC 2 requirements</w:t>
      </w:r>
    </w:p>
    <w:p>
      <w:pPr>
        <w:pStyle w:val="BodyText"/>
      </w:pPr>
      <w:r>
        <w:rPr>
          <w:b/>
          <w:bCs/>
        </w:rPr>
        <w:t xml:space="preserve">Threat Awareness:</w:t>
      </w:r>
      <w:r>
        <w:t xml:space="preserve"> </w:t>
      </w:r>
      <w:r>
        <w:t xml:space="preserve">- Phishing and social engineering</w:t>
      </w:r>
      <w:r>
        <w:t xml:space="preserve"> </w:t>
      </w:r>
      <w:r>
        <w:t xml:space="preserve">- Malware and ransomware</w:t>
      </w:r>
      <w:r>
        <w:t xml:space="preserve"> </w:t>
      </w:r>
      <w:r>
        <w:t xml:space="preserve">- Password security</w:t>
      </w:r>
      <w:r>
        <w:t xml:space="preserve"> </w:t>
      </w:r>
      <w:r>
        <w:t xml:space="preserve">- Physical security</w:t>
      </w:r>
      <w:r>
        <w:t xml:space="preserve"> </w:t>
      </w:r>
      <w:r>
        <w:t xml:space="preserve">- Mobile device security</w:t>
      </w:r>
    </w:p>
    <w:p>
      <w:pPr>
        <w:pStyle w:val="BodyText"/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- Incident identification</w:t>
      </w:r>
      <w:r>
        <w:t xml:space="preserve"> </w:t>
      </w:r>
      <w:r>
        <w:t xml:space="preserve">- Incident reporting procedures</w:t>
      </w:r>
      <w:r>
        <w:t xml:space="preserve"> </w:t>
      </w:r>
      <w:r>
        <w:t xml:space="preserve">- Incident response roles</w:t>
      </w:r>
      <w:r>
        <w:t xml:space="preserve"> </w:t>
      </w:r>
      <w:r>
        <w:t xml:space="preserve">- Post-incident procedures</w:t>
      </w:r>
    </w:p>
    <w:bookmarkEnd w:id="15"/>
    <w:bookmarkStart w:id="16" w:name="role-specific-topics"/>
    <w:p>
      <w:pPr>
        <w:pStyle w:val="Heading3"/>
      </w:pPr>
      <w:r>
        <w:t xml:space="preserve">5.2 Role-Specific Topics</w:t>
      </w:r>
    </w:p>
    <w:p>
      <w:pPr>
        <w:pStyle w:val="FirstParagraph"/>
      </w:pPr>
      <w:r>
        <w:rPr>
          <w:b/>
          <w:bCs/>
        </w:rPr>
        <w:t xml:space="preserve">System Administrators:</w:t>
      </w:r>
      <w:r>
        <w:t xml:space="preserve"> </w:t>
      </w:r>
      <w:r>
        <w:t xml:space="preserve">- System hardening</w:t>
      </w:r>
      <w:r>
        <w:t xml:space="preserve"> </w:t>
      </w:r>
      <w:r>
        <w:t xml:space="preserve">- Access management</w:t>
      </w:r>
      <w:r>
        <w:t xml:space="preserve"> </w:t>
      </w:r>
      <w:r>
        <w:t xml:space="preserve">- Security monitoring</w:t>
      </w:r>
      <w:r>
        <w:t xml:space="preserve"> </w:t>
      </w:r>
      <w:r>
        <w:t xml:space="preserve">- Incident response</w:t>
      </w:r>
      <w:r>
        <w:t xml:space="preserve"> </w:t>
      </w:r>
      <w:r>
        <w:t xml:space="preserve">- Vulnerability management</w:t>
      </w:r>
    </w:p>
    <w:p>
      <w:pPr>
        <w:pStyle w:val="BodyText"/>
      </w:pPr>
      <w:r>
        <w:rPr>
          <w:b/>
          <w:bCs/>
        </w:rPr>
        <w:t xml:space="preserve">Developers:</w:t>
      </w:r>
      <w:r>
        <w:t xml:space="preserve"> </w:t>
      </w:r>
      <w:r>
        <w:t xml:space="preserve">- Secure coding practices</w:t>
      </w:r>
      <w:r>
        <w:t xml:space="preserve"> </w:t>
      </w:r>
      <w:r>
        <w:t xml:space="preserve">- Application security</w:t>
      </w:r>
      <w:r>
        <w:t xml:space="preserve"> </w:t>
      </w:r>
      <w:r>
        <w:t xml:space="preserve">- Code review</w:t>
      </w:r>
      <w:r>
        <w:t xml:space="preserve"> </w:t>
      </w:r>
      <w:r>
        <w:t xml:space="preserve">- Security testing</w:t>
      </w:r>
      <w:r>
        <w:t xml:space="preserve"> </w:t>
      </w:r>
      <w:r>
        <w:t xml:space="preserve">- OWASP Top 10</w:t>
      </w:r>
    </w:p>
    <w:p>
      <w:pPr>
        <w:pStyle w:val="BodyText"/>
      </w:pPr>
      <w:r>
        <w:rPr>
          <w:b/>
          <w:bCs/>
        </w:rPr>
        <w:t xml:space="preserve">Data Handlers:</w:t>
      </w:r>
      <w:r>
        <w:t xml:space="preserve"> </w:t>
      </w:r>
      <w:r>
        <w:t xml:space="preserve">- Data classification</w:t>
      </w:r>
      <w:r>
        <w:t xml:space="preserve"> </w:t>
      </w:r>
      <w:r>
        <w:t xml:space="preserve">- Data protection</w:t>
      </w:r>
      <w:r>
        <w:t xml:space="preserve"> </w:t>
      </w:r>
      <w:r>
        <w:t xml:space="preserve">- Encryption</w:t>
      </w:r>
      <w:r>
        <w:t xml:space="preserve"> </w:t>
      </w:r>
      <w:r>
        <w:t xml:space="preserve">- Secure data handling</w:t>
      </w:r>
      <w:r>
        <w:t xml:space="preserve"> </w:t>
      </w:r>
      <w:r>
        <w:t xml:space="preserve">- Data disposal</w:t>
      </w:r>
    </w:p>
    <w:p>
      <w:pPr>
        <w:pStyle w:val="BodyText"/>
      </w:pPr>
      <w:r>
        <w:rPr>
          <w:b/>
          <w:bCs/>
        </w:rPr>
        <w:t xml:space="preserve">Managers:</w:t>
      </w:r>
      <w:r>
        <w:t xml:space="preserve"> </w:t>
      </w:r>
      <w:r>
        <w:t xml:space="preserve">- Security management</w:t>
      </w:r>
      <w:r>
        <w:t xml:space="preserve"> </w:t>
      </w:r>
      <w:r>
        <w:t xml:space="preserve">- Risk management</w:t>
      </w:r>
      <w:r>
        <w:t xml:space="preserve"> </w:t>
      </w:r>
      <w:r>
        <w:t xml:space="preserve">- Compliance requirements</w:t>
      </w:r>
      <w:r>
        <w:t xml:space="preserve"> </w:t>
      </w:r>
      <w:r>
        <w:t xml:space="preserve">- Vendor management</w:t>
      </w:r>
      <w:r>
        <w:t xml:space="preserve"> </w:t>
      </w:r>
      <w:r>
        <w:t xml:space="preserve">- Security metrics</w:t>
      </w:r>
    </w:p>
    <w:bookmarkEnd w:id="16"/>
    <w:bookmarkEnd w:id="17"/>
    <w:bookmarkStart w:id="20" w:name="training-delivery-methods"/>
    <w:p>
      <w:pPr>
        <w:pStyle w:val="Heading2"/>
      </w:pPr>
      <w:r>
        <w:t xml:space="preserve">6. Training Delivery Methods</w:t>
      </w:r>
    </w:p>
    <w:bookmarkStart w:id="18" w:name="training-formats"/>
    <w:p>
      <w:pPr>
        <w:pStyle w:val="Heading3"/>
      </w:pPr>
      <w:r>
        <w:t xml:space="preserve">6.1 Training Formats</w:t>
      </w:r>
    </w:p>
    <w:p>
      <w:pPr>
        <w:pStyle w:val="FirstParagraph"/>
      </w:pPr>
      <w:r>
        <w:rPr>
          <w:b/>
          <w:bCs/>
        </w:rPr>
        <w:t xml:space="preserve">Online Training:</w:t>
      </w:r>
      <w:r>
        <w:t xml:space="preserve"> </w:t>
      </w:r>
      <w:r>
        <w:t xml:space="preserve">- E-learning modules</w:t>
      </w:r>
      <w:r>
        <w:t xml:space="preserve"> </w:t>
      </w:r>
      <w:r>
        <w:t xml:space="preserve">- Video training</w:t>
      </w:r>
      <w:r>
        <w:t xml:space="preserve"> </w:t>
      </w:r>
      <w:r>
        <w:t xml:space="preserve">- Interactive courses</w:t>
      </w:r>
      <w:r>
        <w:t xml:space="preserve"> </w:t>
      </w:r>
      <w:r>
        <w:t xml:space="preserve">- Self-paced learning</w:t>
      </w:r>
    </w:p>
    <w:p>
      <w:pPr>
        <w:pStyle w:val="BodyText"/>
      </w:pPr>
      <w:r>
        <w:rPr>
          <w:b/>
          <w:bCs/>
        </w:rPr>
        <w:t xml:space="preserve">In-Person Training:</w:t>
      </w:r>
      <w:r>
        <w:t xml:space="preserve"> </w:t>
      </w:r>
      <w:r>
        <w:t xml:space="preserve">- Classroom training</w:t>
      </w:r>
      <w:r>
        <w:t xml:space="preserve"> </w:t>
      </w:r>
      <w:r>
        <w:t xml:space="preserve">- Workshops</w:t>
      </w:r>
      <w:r>
        <w:t xml:space="preserve"> </w:t>
      </w:r>
      <w:r>
        <w:t xml:space="preserve">- Seminars</w:t>
      </w:r>
      <w:r>
        <w:t xml:space="preserve"> </w:t>
      </w:r>
      <w:r>
        <w:t xml:space="preserve">- Hands-on exercises</w:t>
      </w:r>
    </w:p>
    <w:p>
      <w:pPr>
        <w:pStyle w:val="BodyText"/>
      </w:pPr>
      <w:r>
        <w:rPr>
          <w:b/>
          <w:bCs/>
        </w:rPr>
        <w:t xml:space="preserve">Virtual Training:</w:t>
      </w:r>
      <w:r>
        <w:t xml:space="preserve"> </w:t>
      </w:r>
      <w:r>
        <w:t xml:space="preserve">- Webinars</w:t>
      </w:r>
      <w:r>
        <w:t xml:space="preserve"> </w:t>
      </w:r>
      <w:r>
        <w:t xml:space="preserve">- Virtual classrooms</w:t>
      </w:r>
      <w:r>
        <w:t xml:space="preserve"> </w:t>
      </w:r>
      <w:r>
        <w:t xml:space="preserve">- Live online sessions</w:t>
      </w:r>
      <w:r>
        <w:t xml:space="preserve"> </w:t>
      </w:r>
      <w:r>
        <w:t xml:space="preserve">- Interactive sessions</w:t>
      </w:r>
    </w:p>
    <w:p>
      <w:pPr>
        <w:pStyle w:val="BodyText"/>
      </w:pPr>
      <w:r>
        <w:rPr>
          <w:b/>
          <w:bCs/>
        </w:rPr>
        <w:t xml:space="preserve">On-the-Job Training:</w:t>
      </w:r>
      <w:r>
        <w:t xml:space="preserve"> </w:t>
      </w:r>
      <w:r>
        <w:t xml:space="preserve">- Mentoring</w:t>
      </w:r>
      <w:r>
        <w:t xml:space="preserve"> </w:t>
      </w:r>
      <w:r>
        <w:t xml:space="preserve">- Shadowing</w:t>
      </w:r>
      <w:r>
        <w:t xml:space="preserve"> </w:t>
      </w:r>
      <w:r>
        <w:t xml:space="preserve">- Practical exercises</w:t>
      </w:r>
      <w:r>
        <w:t xml:space="preserve"> </w:t>
      </w:r>
      <w:r>
        <w:t xml:space="preserve">- Real-world scenarios</w:t>
      </w:r>
    </w:p>
    <w:bookmarkEnd w:id="18"/>
    <w:bookmarkStart w:id="19" w:name="training-materials"/>
    <w:p>
      <w:pPr>
        <w:pStyle w:val="Heading3"/>
      </w:pPr>
      <w:r>
        <w:t xml:space="preserve">6.2 Training Materials</w:t>
      </w:r>
    </w:p>
    <w:p>
      <w:pPr>
        <w:pStyle w:val="Compact"/>
        <w:numPr>
          <w:ilvl w:val="0"/>
          <w:numId w:val="1003"/>
        </w:numPr>
      </w:pPr>
      <w:r>
        <w:t xml:space="preserve">Training presentations</w:t>
      </w:r>
    </w:p>
    <w:p>
      <w:pPr>
        <w:pStyle w:val="Compact"/>
        <w:numPr>
          <w:ilvl w:val="0"/>
          <w:numId w:val="1003"/>
        </w:numPr>
      </w:pPr>
      <w:r>
        <w:t xml:space="preserve">Policy documents</w:t>
      </w:r>
    </w:p>
    <w:p>
      <w:pPr>
        <w:pStyle w:val="Compact"/>
        <w:numPr>
          <w:ilvl w:val="0"/>
          <w:numId w:val="1003"/>
        </w:numPr>
      </w:pPr>
      <w:r>
        <w:t xml:space="preserve">Best practice guides</w:t>
      </w:r>
    </w:p>
    <w:p>
      <w:pPr>
        <w:pStyle w:val="Compact"/>
        <w:numPr>
          <w:ilvl w:val="0"/>
          <w:numId w:val="1003"/>
        </w:numPr>
      </w:pPr>
      <w:r>
        <w:t xml:space="preserve">Case studies</w:t>
      </w:r>
    </w:p>
    <w:p>
      <w:pPr>
        <w:pStyle w:val="Compact"/>
        <w:numPr>
          <w:ilvl w:val="0"/>
          <w:numId w:val="1003"/>
        </w:numPr>
      </w:pPr>
      <w:r>
        <w:t xml:space="preserve">Videos and multimedia</w:t>
      </w:r>
    </w:p>
    <w:p>
      <w:pPr>
        <w:pStyle w:val="Compact"/>
        <w:numPr>
          <w:ilvl w:val="0"/>
          <w:numId w:val="1003"/>
        </w:numPr>
      </w:pPr>
      <w:r>
        <w:t xml:space="preserve">Quizzes and assessments</w:t>
      </w:r>
    </w:p>
    <w:bookmarkEnd w:id="19"/>
    <w:bookmarkEnd w:id="20"/>
    <w:bookmarkStart w:id="23" w:name="training-schedule"/>
    <w:p>
      <w:pPr>
        <w:pStyle w:val="Heading2"/>
      </w:pPr>
      <w:r>
        <w:t xml:space="preserve">7. Training Schedule</w:t>
      </w:r>
    </w:p>
    <w:bookmarkStart w:id="21" w:name="annual-training-schedule"/>
    <w:p>
      <w:pPr>
        <w:pStyle w:val="Heading3"/>
      </w:pPr>
      <w:r>
        <w:t xml:space="preserve">7.1 Annual Training Schedule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- New hire training</w:t>
      </w:r>
      <w:r>
        <w:t xml:space="preserve"> </w:t>
      </w:r>
      <w:r>
        <w:t xml:space="preserve">- Annual refresher training</w:t>
      </w:r>
      <w:r>
        <w:t xml:space="preserve"> </w:t>
      </w:r>
      <w:r>
        <w:t xml:space="preserve">- Policy updates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- Role-specific training</w:t>
      </w:r>
      <w:r>
        <w:t xml:space="preserve"> </w:t>
      </w:r>
      <w:r>
        <w:t xml:space="preserve">- Advanced topics</w:t>
      </w:r>
      <w:r>
        <w:t xml:space="preserve"> </w:t>
      </w:r>
      <w:r>
        <w:t xml:space="preserve">- Security awareness campaigns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- Compliance training</w:t>
      </w:r>
      <w:r>
        <w:t xml:space="preserve"> </w:t>
      </w:r>
      <w:r>
        <w:t xml:space="preserve">- Regulatory updates</w:t>
      </w:r>
      <w:r>
        <w:t xml:space="preserve"> </w:t>
      </w:r>
      <w:r>
        <w:t xml:space="preserve">- Incident response training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- Year-end review</w:t>
      </w:r>
      <w:r>
        <w:t xml:space="preserve"> </w:t>
      </w:r>
      <w:r>
        <w:t xml:space="preserve">- Planning for next year</w:t>
      </w:r>
      <w:r>
        <w:t xml:space="preserve"> </w:t>
      </w:r>
      <w:r>
        <w:t xml:space="preserve">- Training effectiveness assessment</w:t>
      </w:r>
    </w:p>
    <w:bookmarkEnd w:id="21"/>
    <w:bookmarkStart w:id="22" w:name="training-calendar"/>
    <w:p>
      <w:pPr>
        <w:pStyle w:val="Heading3"/>
      </w:pPr>
      <w:r>
        <w:t xml:space="preserve">7.2 Training Calendar</w:t>
      </w:r>
    </w:p>
    <w:p>
      <w:pPr>
        <w:pStyle w:val="Compact"/>
        <w:numPr>
          <w:ilvl w:val="0"/>
          <w:numId w:val="1004"/>
        </w:numPr>
      </w:pPr>
      <w:r>
        <w:t xml:space="preserve">Monthly security awareness communications</w:t>
      </w:r>
    </w:p>
    <w:p>
      <w:pPr>
        <w:pStyle w:val="Compact"/>
        <w:numPr>
          <w:ilvl w:val="0"/>
          <w:numId w:val="1004"/>
        </w:numPr>
      </w:pPr>
      <w:r>
        <w:t xml:space="preserve">Quarterly role-specific training sessions</w:t>
      </w:r>
    </w:p>
    <w:p>
      <w:pPr>
        <w:pStyle w:val="Compact"/>
        <w:numPr>
          <w:ilvl w:val="0"/>
          <w:numId w:val="1004"/>
        </w:numPr>
      </w:pPr>
      <w:r>
        <w:t xml:space="preserve">Annual comprehensive training</w:t>
      </w:r>
    </w:p>
    <w:p>
      <w:pPr>
        <w:pStyle w:val="Compact"/>
        <w:numPr>
          <w:ilvl w:val="0"/>
          <w:numId w:val="1004"/>
        </w:numPr>
      </w:pPr>
      <w:r>
        <w:t xml:space="preserve">Ad-hoc training as needed</w:t>
      </w:r>
    </w:p>
    <w:bookmarkEnd w:id="22"/>
    <w:bookmarkEnd w:id="23"/>
    <w:bookmarkStart w:id="27" w:name="training-tracking-and-compliance"/>
    <w:p>
      <w:pPr>
        <w:pStyle w:val="Heading2"/>
      </w:pPr>
      <w:r>
        <w:t xml:space="preserve">8. Training Tracking and Compliance</w:t>
      </w:r>
    </w:p>
    <w:bookmarkStart w:id="24" w:name="training-records"/>
    <w:p>
      <w:pPr>
        <w:pStyle w:val="Heading3"/>
      </w:pPr>
      <w:r>
        <w:t xml:space="preserve">8.1 Training Records</w:t>
      </w:r>
    </w:p>
    <w:p>
      <w:pPr>
        <w:pStyle w:val="Compact"/>
        <w:numPr>
          <w:ilvl w:val="0"/>
          <w:numId w:val="1005"/>
        </w:numPr>
      </w:pPr>
      <w:r>
        <w:t xml:space="preserve">Training completion tracking</w:t>
      </w:r>
    </w:p>
    <w:p>
      <w:pPr>
        <w:pStyle w:val="Compact"/>
        <w:numPr>
          <w:ilvl w:val="0"/>
          <w:numId w:val="1005"/>
        </w:numPr>
      </w:pPr>
      <w:r>
        <w:t xml:space="preserve">Training attendance records</w:t>
      </w:r>
    </w:p>
    <w:p>
      <w:pPr>
        <w:pStyle w:val="Compact"/>
        <w:numPr>
          <w:ilvl w:val="0"/>
          <w:numId w:val="1005"/>
        </w:numPr>
      </w:pPr>
      <w:r>
        <w:t xml:space="preserve">Assessment results</w:t>
      </w:r>
    </w:p>
    <w:p>
      <w:pPr>
        <w:pStyle w:val="Compact"/>
        <w:numPr>
          <w:ilvl w:val="0"/>
          <w:numId w:val="1005"/>
        </w:numPr>
      </w:pPr>
      <w:r>
        <w:t xml:space="preserve">Certification records</w:t>
      </w:r>
    </w:p>
    <w:p>
      <w:pPr>
        <w:pStyle w:val="Compact"/>
        <w:numPr>
          <w:ilvl w:val="0"/>
          <w:numId w:val="1005"/>
        </w:numPr>
      </w:pPr>
      <w:r>
        <w:t xml:space="preserve">Training history</w:t>
      </w:r>
    </w:p>
    <w:bookmarkEnd w:id="24"/>
    <w:bookmarkStart w:id="25" w:name="compliance-monitoring"/>
    <w:p>
      <w:pPr>
        <w:pStyle w:val="Heading3"/>
      </w:pPr>
      <w:r>
        <w:t xml:space="preserve">8.2 Compliance Monitoring</w:t>
      </w:r>
    </w:p>
    <w:p>
      <w:pPr>
        <w:pStyle w:val="Compact"/>
        <w:numPr>
          <w:ilvl w:val="0"/>
          <w:numId w:val="1006"/>
        </w:numPr>
      </w:pPr>
      <w:r>
        <w:t xml:space="preserve">Training completion rates</w:t>
      </w:r>
    </w:p>
    <w:p>
      <w:pPr>
        <w:pStyle w:val="Compact"/>
        <w:numPr>
          <w:ilvl w:val="0"/>
          <w:numId w:val="1006"/>
        </w:numPr>
      </w:pPr>
      <w:r>
        <w:t xml:space="preserve">Assessment scores</w:t>
      </w:r>
    </w:p>
    <w:p>
      <w:pPr>
        <w:pStyle w:val="Compact"/>
        <w:numPr>
          <w:ilvl w:val="0"/>
          <w:numId w:val="1006"/>
        </w:numPr>
      </w:pPr>
      <w:r>
        <w:t xml:space="preserve">Compliance reporting</w:t>
      </w:r>
    </w:p>
    <w:p>
      <w:pPr>
        <w:pStyle w:val="Compact"/>
        <w:numPr>
          <w:ilvl w:val="0"/>
          <w:numId w:val="1006"/>
        </w:numPr>
      </w:pPr>
      <w:r>
        <w:t xml:space="preserve">Non-compliance tracking</w:t>
      </w:r>
    </w:p>
    <w:p>
      <w:pPr>
        <w:pStyle w:val="Compact"/>
        <w:numPr>
          <w:ilvl w:val="0"/>
          <w:numId w:val="1006"/>
        </w:numPr>
      </w:pPr>
      <w:r>
        <w:t xml:space="preserve">Remediation procedures</w:t>
      </w:r>
    </w:p>
    <w:bookmarkEnd w:id="25"/>
    <w:bookmarkStart w:id="26" w:name="training-system"/>
    <w:p>
      <w:pPr>
        <w:pStyle w:val="Heading3"/>
      </w:pPr>
      <w:r>
        <w:t xml:space="preserve">8.3 Training System</w:t>
      </w:r>
    </w:p>
    <w:p>
      <w:pPr>
        <w:pStyle w:val="Compact"/>
        <w:numPr>
          <w:ilvl w:val="0"/>
          <w:numId w:val="1007"/>
        </w:numPr>
      </w:pPr>
      <w:r>
        <w:t xml:space="preserve">Learning management system (LMS)</w:t>
      </w:r>
    </w:p>
    <w:p>
      <w:pPr>
        <w:pStyle w:val="Compact"/>
        <w:numPr>
          <w:ilvl w:val="0"/>
          <w:numId w:val="1007"/>
        </w:numPr>
      </w:pPr>
      <w:r>
        <w:t xml:space="preserve">Training portal</w:t>
      </w:r>
    </w:p>
    <w:p>
      <w:pPr>
        <w:pStyle w:val="Compact"/>
        <w:numPr>
          <w:ilvl w:val="0"/>
          <w:numId w:val="1007"/>
        </w:numPr>
      </w:pPr>
      <w:r>
        <w:t xml:space="preserve">Automated reminders</w:t>
      </w:r>
    </w:p>
    <w:p>
      <w:pPr>
        <w:pStyle w:val="Compact"/>
        <w:numPr>
          <w:ilvl w:val="0"/>
          <w:numId w:val="1007"/>
        </w:numPr>
      </w:pPr>
      <w:r>
        <w:t xml:space="preserve">Progress tracking</w:t>
      </w:r>
    </w:p>
    <w:p>
      <w:pPr>
        <w:pStyle w:val="Compact"/>
        <w:numPr>
          <w:ilvl w:val="0"/>
          <w:numId w:val="1007"/>
        </w:numPr>
      </w:pPr>
      <w:r>
        <w:t xml:space="preserve">Reporting capabilities</w:t>
      </w:r>
    </w:p>
    <w:bookmarkEnd w:id="26"/>
    <w:bookmarkEnd w:id="27"/>
    <w:bookmarkStart w:id="31" w:name="training-effectiveness"/>
    <w:p>
      <w:pPr>
        <w:pStyle w:val="Heading2"/>
      </w:pPr>
      <w:r>
        <w:t xml:space="preserve">9. Training Effectiveness</w:t>
      </w:r>
    </w:p>
    <w:bookmarkStart w:id="28" w:name="assessment-methods"/>
    <w:p>
      <w:pPr>
        <w:pStyle w:val="Heading3"/>
      </w:pPr>
      <w:r>
        <w:t xml:space="preserve">9.1 Assessment Methods</w:t>
      </w:r>
    </w:p>
    <w:p>
      <w:pPr>
        <w:pStyle w:val="Compact"/>
        <w:numPr>
          <w:ilvl w:val="0"/>
          <w:numId w:val="1008"/>
        </w:numPr>
      </w:pPr>
      <w:r>
        <w:t xml:space="preserve">Knowledge assessments</w:t>
      </w:r>
    </w:p>
    <w:p>
      <w:pPr>
        <w:pStyle w:val="Compact"/>
        <w:numPr>
          <w:ilvl w:val="0"/>
          <w:numId w:val="1008"/>
        </w:numPr>
      </w:pPr>
      <w:r>
        <w:t xml:space="preserve">Skills evaluations</w:t>
      </w:r>
    </w:p>
    <w:p>
      <w:pPr>
        <w:pStyle w:val="Compact"/>
        <w:numPr>
          <w:ilvl w:val="0"/>
          <w:numId w:val="1008"/>
        </w:numPr>
      </w:pPr>
      <w:r>
        <w:t xml:space="preserve">Behavioral observations</w:t>
      </w:r>
    </w:p>
    <w:p>
      <w:pPr>
        <w:pStyle w:val="Compact"/>
        <w:numPr>
          <w:ilvl w:val="0"/>
          <w:numId w:val="1008"/>
        </w:numPr>
      </w:pPr>
      <w:r>
        <w:t xml:space="preserve">Incident trends</w:t>
      </w:r>
    </w:p>
    <w:p>
      <w:pPr>
        <w:pStyle w:val="Compact"/>
        <w:numPr>
          <w:ilvl w:val="0"/>
          <w:numId w:val="1008"/>
        </w:numPr>
      </w:pPr>
      <w:r>
        <w:t xml:space="preserve">Security metrics</w:t>
      </w:r>
    </w:p>
    <w:bookmarkEnd w:id="28"/>
    <w:bookmarkStart w:id="29" w:name="metrics"/>
    <w:p>
      <w:pPr>
        <w:pStyle w:val="Heading3"/>
      </w:pPr>
      <w:r>
        <w:t xml:space="preserve">9.2 Metrics</w:t>
      </w:r>
    </w:p>
    <w:p>
      <w:pPr>
        <w:pStyle w:val="Compact"/>
        <w:numPr>
          <w:ilvl w:val="0"/>
          <w:numId w:val="1009"/>
        </w:numPr>
      </w:pPr>
      <w:r>
        <w:t xml:space="preserve">Training completion rates</w:t>
      </w:r>
    </w:p>
    <w:p>
      <w:pPr>
        <w:pStyle w:val="Compact"/>
        <w:numPr>
          <w:ilvl w:val="0"/>
          <w:numId w:val="1009"/>
        </w:numPr>
      </w:pPr>
      <w:r>
        <w:t xml:space="preserve">Assessment scores</w:t>
      </w:r>
    </w:p>
    <w:p>
      <w:pPr>
        <w:pStyle w:val="Compact"/>
        <w:numPr>
          <w:ilvl w:val="0"/>
          <w:numId w:val="1009"/>
        </w:numPr>
      </w:pPr>
      <w:r>
        <w:t xml:space="preserve">Security incident trends</w:t>
      </w:r>
    </w:p>
    <w:p>
      <w:pPr>
        <w:pStyle w:val="Compact"/>
        <w:numPr>
          <w:ilvl w:val="0"/>
          <w:numId w:val="1009"/>
        </w:numPr>
      </w:pPr>
      <w:r>
        <w:t xml:space="preserve">Policy compliance rates</w:t>
      </w:r>
    </w:p>
    <w:p>
      <w:pPr>
        <w:pStyle w:val="Compact"/>
        <w:numPr>
          <w:ilvl w:val="0"/>
          <w:numId w:val="1009"/>
        </w:numPr>
      </w:pPr>
      <w:r>
        <w:t xml:space="preserve">Phishing test results</w:t>
      </w:r>
    </w:p>
    <w:bookmarkEnd w:id="29"/>
    <w:bookmarkStart w:id="30" w:name="continuous-improvement"/>
    <w:p>
      <w:pPr>
        <w:pStyle w:val="Heading3"/>
      </w:pPr>
      <w:r>
        <w:t xml:space="preserve">9.3 Continuous Improvement</w:t>
      </w:r>
    </w:p>
    <w:p>
      <w:pPr>
        <w:pStyle w:val="Compact"/>
        <w:numPr>
          <w:ilvl w:val="0"/>
          <w:numId w:val="1010"/>
        </w:numPr>
      </w:pPr>
      <w:r>
        <w:t xml:space="preserve">Training feedback collection</w:t>
      </w:r>
    </w:p>
    <w:p>
      <w:pPr>
        <w:pStyle w:val="Compact"/>
        <w:numPr>
          <w:ilvl w:val="0"/>
          <w:numId w:val="1010"/>
        </w:numPr>
      </w:pPr>
      <w:r>
        <w:t xml:space="preserve">Training effectiveness analysis</w:t>
      </w:r>
    </w:p>
    <w:p>
      <w:pPr>
        <w:pStyle w:val="Compact"/>
        <w:numPr>
          <w:ilvl w:val="0"/>
          <w:numId w:val="1010"/>
        </w:numPr>
      </w:pPr>
      <w:r>
        <w:t xml:space="preserve">Content updates</w:t>
      </w:r>
    </w:p>
    <w:p>
      <w:pPr>
        <w:pStyle w:val="Compact"/>
        <w:numPr>
          <w:ilvl w:val="0"/>
          <w:numId w:val="1010"/>
        </w:numPr>
      </w:pPr>
      <w:r>
        <w:t xml:space="preserve">Delivery method improvements</w:t>
      </w:r>
    </w:p>
    <w:p>
      <w:pPr>
        <w:pStyle w:val="Compact"/>
        <w:numPr>
          <w:ilvl w:val="0"/>
          <w:numId w:val="1010"/>
        </w:numPr>
      </w:pPr>
      <w:r>
        <w:t xml:space="preserve">Best practice sharing</w:t>
      </w:r>
    </w:p>
    <w:bookmarkEnd w:id="30"/>
    <w:bookmarkEnd w:id="31"/>
    <w:bookmarkStart w:id="35" w:name="specialized-training"/>
    <w:p>
      <w:pPr>
        <w:pStyle w:val="Heading2"/>
      </w:pPr>
      <w:r>
        <w:t xml:space="preserve">10. Specialized Training</w:t>
      </w:r>
    </w:p>
    <w:bookmarkStart w:id="32" w:name="security-team-training"/>
    <w:p>
      <w:pPr>
        <w:pStyle w:val="Heading3"/>
      </w:pPr>
      <w:r>
        <w:t xml:space="preserve">10.1 Security Team Training</w:t>
      </w:r>
    </w:p>
    <w:p>
      <w:pPr>
        <w:pStyle w:val="Compact"/>
        <w:numPr>
          <w:ilvl w:val="0"/>
          <w:numId w:val="1011"/>
        </w:numPr>
      </w:pPr>
      <w:r>
        <w:t xml:space="preserve">Advanced security topics</w:t>
      </w:r>
    </w:p>
    <w:p>
      <w:pPr>
        <w:pStyle w:val="Compact"/>
        <w:numPr>
          <w:ilvl w:val="0"/>
          <w:numId w:val="1011"/>
        </w:numPr>
      </w:pPr>
      <w:r>
        <w:t xml:space="preserve">Threat intelligence</w:t>
      </w:r>
    </w:p>
    <w:p>
      <w:pPr>
        <w:pStyle w:val="Compact"/>
        <w:numPr>
          <w:ilvl w:val="0"/>
          <w:numId w:val="1011"/>
        </w:numPr>
      </w:pPr>
      <w:r>
        <w:t xml:space="preserve">Incident response</w:t>
      </w:r>
    </w:p>
    <w:p>
      <w:pPr>
        <w:pStyle w:val="Compact"/>
        <w:numPr>
          <w:ilvl w:val="0"/>
          <w:numId w:val="1011"/>
        </w:numPr>
      </w:pPr>
      <w:r>
        <w:t xml:space="preserve">Security tools</w:t>
      </w:r>
    </w:p>
    <w:p>
      <w:pPr>
        <w:pStyle w:val="Compact"/>
        <w:numPr>
          <w:ilvl w:val="0"/>
          <w:numId w:val="1011"/>
        </w:numPr>
      </w:pPr>
      <w:r>
        <w:t xml:space="preserve">Industry certifications</w:t>
      </w:r>
    </w:p>
    <w:bookmarkEnd w:id="32"/>
    <w:bookmarkStart w:id="33" w:name="compliance-training"/>
    <w:p>
      <w:pPr>
        <w:pStyle w:val="Heading3"/>
      </w:pPr>
      <w:r>
        <w:t xml:space="preserve">10.2 Compliance Training</w:t>
      </w:r>
    </w:p>
    <w:p>
      <w:pPr>
        <w:pStyle w:val="Compact"/>
        <w:numPr>
          <w:ilvl w:val="0"/>
          <w:numId w:val="1012"/>
        </w:numPr>
      </w:pPr>
      <w:r>
        <w:t xml:space="preserve">SOC 2 requirements</w:t>
      </w:r>
    </w:p>
    <w:p>
      <w:pPr>
        <w:pStyle w:val="Compact"/>
        <w:numPr>
          <w:ilvl w:val="0"/>
          <w:numId w:val="1012"/>
        </w:numPr>
      </w:pPr>
      <w:r>
        <w:t xml:space="preserve">GDPR compliance</w:t>
      </w:r>
    </w:p>
    <w:p>
      <w:pPr>
        <w:pStyle w:val="Compact"/>
        <w:numPr>
          <w:ilvl w:val="0"/>
          <w:numId w:val="1012"/>
        </w:numPr>
      </w:pPr>
      <w:r>
        <w:t xml:space="preserve">HIPAA compliance (if applicable)</w:t>
      </w:r>
    </w:p>
    <w:p>
      <w:pPr>
        <w:pStyle w:val="Compact"/>
        <w:numPr>
          <w:ilvl w:val="0"/>
          <w:numId w:val="1012"/>
        </w:numPr>
      </w:pPr>
      <w:r>
        <w:t xml:space="preserve">PCI-DSS compliance (if applicable)</w:t>
      </w:r>
    </w:p>
    <w:p>
      <w:pPr>
        <w:pStyle w:val="Compact"/>
        <w:numPr>
          <w:ilvl w:val="0"/>
          <w:numId w:val="1012"/>
        </w:numPr>
      </w:pPr>
      <w:r>
        <w:t xml:space="preserve">Regulatory updates</w:t>
      </w:r>
    </w:p>
    <w:bookmarkEnd w:id="33"/>
    <w:bookmarkStart w:id="34" w:name="technology-training"/>
    <w:p>
      <w:pPr>
        <w:pStyle w:val="Heading3"/>
      </w:pPr>
      <w:r>
        <w:t xml:space="preserve">10.3 Technology Training</w:t>
      </w:r>
    </w:p>
    <w:p>
      <w:pPr>
        <w:pStyle w:val="Compact"/>
        <w:numPr>
          <w:ilvl w:val="0"/>
          <w:numId w:val="1013"/>
        </w:numPr>
      </w:pPr>
      <w:r>
        <w:t xml:space="preserve">New technology security</w:t>
      </w:r>
    </w:p>
    <w:p>
      <w:pPr>
        <w:pStyle w:val="Compact"/>
        <w:numPr>
          <w:ilvl w:val="0"/>
          <w:numId w:val="1013"/>
        </w:numPr>
      </w:pPr>
      <w:r>
        <w:t xml:space="preserve">Cloud security</w:t>
      </w:r>
    </w:p>
    <w:p>
      <w:pPr>
        <w:pStyle w:val="Compact"/>
        <w:numPr>
          <w:ilvl w:val="0"/>
          <w:numId w:val="1013"/>
        </w:numPr>
      </w:pPr>
      <w:r>
        <w:t xml:space="preserve">AWS security</w:t>
      </w:r>
    </w:p>
    <w:p>
      <w:pPr>
        <w:pStyle w:val="Compact"/>
        <w:numPr>
          <w:ilvl w:val="0"/>
          <w:numId w:val="1013"/>
        </w:numPr>
      </w:pPr>
      <w:r>
        <w:t xml:space="preserve">Security tool training</w:t>
      </w:r>
    </w:p>
    <w:p>
      <w:pPr>
        <w:pStyle w:val="Compact"/>
        <w:numPr>
          <w:ilvl w:val="0"/>
          <w:numId w:val="1013"/>
        </w:numPr>
      </w:pPr>
      <w:r>
        <w:t xml:space="preserve">Platform-specific training</w:t>
      </w:r>
    </w:p>
    <w:bookmarkEnd w:id="34"/>
    <w:bookmarkEnd w:id="35"/>
    <w:bookmarkStart w:id="38" w:name="training-resources"/>
    <w:p>
      <w:pPr>
        <w:pStyle w:val="Heading2"/>
      </w:pPr>
      <w:r>
        <w:t xml:space="preserve">11. Training Resources</w:t>
      </w:r>
    </w:p>
    <w:bookmarkStart w:id="36" w:name="internal-resources"/>
    <w:p>
      <w:pPr>
        <w:pStyle w:val="Heading3"/>
      </w:pPr>
      <w:r>
        <w:t xml:space="preserve">11.1 Internal Resources</w:t>
      </w:r>
    </w:p>
    <w:p>
      <w:pPr>
        <w:pStyle w:val="Compact"/>
        <w:numPr>
          <w:ilvl w:val="0"/>
          <w:numId w:val="1014"/>
        </w:numPr>
      </w:pPr>
      <w:r>
        <w:t xml:space="preserve">InfoSec team</w:t>
      </w:r>
    </w:p>
    <w:p>
      <w:pPr>
        <w:pStyle w:val="Compact"/>
        <w:numPr>
          <w:ilvl w:val="0"/>
          <w:numId w:val="1014"/>
        </w:numPr>
      </w:pPr>
      <w:r>
        <w:t xml:space="preserve">Subject matter experts</w:t>
      </w:r>
    </w:p>
    <w:p>
      <w:pPr>
        <w:pStyle w:val="Compact"/>
        <w:numPr>
          <w:ilvl w:val="0"/>
          <w:numId w:val="1014"/>
        </w:numPr>
      </w:pPr>
      <w:r>
        <w:t xml:space="preserve">Training materials</w:t>
      </w:r>
    </w:p>
    <w:p>
      <w:pPr>
        <w:pStyle w:val="Compact"/>
        <w:numPr>
          <w:ilvl w:val="0"/>
          <w:numId w:val="1014"/>
        </w:numPr>
      </w:pPr>
      <w:r>
        <w:t xml:space="preserve">Policy documents</w:t>
      </w:r>
    </w:p>
    <w:p>
      <w:pPr>
        <w:pStyle w:val="Compact"/>
        <w:numPr>
          <w:ilvl w:val="0"/>
          <w:numId w:val="1014"/>
        </w:numPr>
      </w:pPr>
      <w:r>
        <w:t xml:space="preserve">Best practice guides</w:t>
      </w:r>
    </w:p>
    <w:bookmarkEnd w:id="36"/>
    <w:bookmarkStart w:id="37" w:name="external-resources"/>
    <w:p>
      <w:pPr>
        <w:pStyle w:val="Heading3"/>
      </w:pPr>
      <w:r>
        <w:t xml:space="preserve">11.2 External Resources</w:t>
      </w:r>
    </w:p>
    <w:p>
      <w:pPr>
        <w:pStyle w:val="Compact"/>
        <w:numPr>
          <w:ilvl w:val="0"/>
          <w:numId w:val="1015"/>
        </w:numPr>
      </w:pPr>
      <w:r>
        <w:t xml:space="preserve">Training vendors</w:t>
      </w:r>
    </w:p>
    <w:p>
      <w:pPr>
        <w:pStyle w:val="Compact"/>
        <w:numPr>
          <w:ilvl w:val="0"/>
          <w:numId w:val="1015"/>
        </w:numPr>
      </w:pPr>
      <w:r>
        <w:t xml:space="preserve">Industry organizations</w:t>
      </w:r>
    </w:p>
    <w:p>
      <w:pPr>
        <w:pStyle w:val="Compact"/>
        <w:numPr>
          <w:ilvl w:val="0"/>
          <w:numId w:val="1015"/>
        </w:numPr>
      </w:pPr>
      <w:r>
        <w:t xml:space="preserve">Online training platforms</w:t>
      </w:r>
    </w:p>
    <w:p>
      <w:pPr>
        <w:pStyle w:val="Compact"/>
        <w:numPr>
          <w:ilvl w:val="0"/>
          <w:numId w:val="1015"/>
        </w:numPr>
      </w:pPr>
      <w:r>
        <w:t xml:space="preserve">Conferences and seminars</w:t>
      </w:r>
    </w:p>
    <w:p>
      <w:pPr>
        <w:pStyle w:val="Compact"/>
        <w:numPr>
          <w:ilvl w:val="0"/>
          <w:numId w:val="1015"/>
        </w:numPr>
      </w:pPr>
      <w:r>
        <w:t xml:space="preserve">Professional certifications</w:t>
      </w:r>
    </w:p>
    <w:bookmarkEnd w:id="37"/>
    <w:bookmarkEnd w:id="38"/>
    <w:bookmarkStart w:id="41" w:name="compliance-requirements"/>
    <w:p>
      <w:pPr>
        <w:pStyle w:val="Heading2"/>
      </w:pPr>
      <w:r>
        <w:t xml:space="preserve">12. Compliance Requirements</w:t>
      </w:r>
    </w:p>
    <w:bookmarkStart w:id="39" w:name="soc-2-cc2.1"/>
    <w:p>
      <w:pPr>
        <w:pStyle w:val="Heading3"/>
      </w:pPr>
      <w:r>
        <w:t xml:space="preserve">12.1 SOC 2 CC2.1</w:t>
      </w:r>
    </w:p>
    <w:p>
      <w:pPr>
        <w:pStyle w:val="Compact"/>
        <w:numPr>
          <w:ilvl w:val="0"/>
          <w:numId w:val="1016"/>
        </w:numPr>
      </w:pPr>
      <w:r>
        <w:t xml:space="preserve">Communication and information requirements</w:t>
      </w:r>
    </w:p>
    <w:p>
      <w:pPr>
        <w:pStyle w:val="Compact"/>
        <w:numPr>
          <w:ilvl w:val="0"/>
          <w:numId w:val="1016"/>
        </w:numPr>
      </w:pPr>
      <w:r>
        <w:t xml:space="preserve">Training and awareness programs</w:t>
      </w:r>
    </w:p>
    <w:p>
      <w:pPr>
        <w:pStyle w:val="Compact"/>
        <w:numPr>
          <w:ilvl w:val="0"/>
          <w:numId w:val="1016"/>
        </w:numPr>
      </w:pPr>
      <w:r>
        <w:t xml:space="preserve">Policy communication</w:t>
      </w:r>
    </w:p>
    <w:p>
      <w:pPr>
        <w:pStyle w:val="Compact"/>
        <w:numPr>
          <w:ilvl w:val="0"/>
          <w:numId w:val="1016"/>
        </w:numPr>
      </w:pPr>
      <w:r>
        <w:t xml:space="preserve">Training documentation</w:t>
      </w:r>
    </w:p>
    <w:bookmarkEnd w:id="39"/>
    <w:bookmarkStart w:id="40" w:name="regulatory-requirements"/>
    <w:p>
      <w:pPr>
        <w:pStyle w:val="Heading3"/>
      </w:pPr>
      <w:r>
        <w:t xml:space="preserve">12.2 Regulatory Requirements</w:t>
      </w:r>
    </w:p>
    <w:p>
      <w:pPr>
        <w:pStyle w:val="Compact"/>
        <w:numPr>
          <w:ilvl w:val="0"/>
          <w:numId w:val="1017"/>
        </w:numPr>
      </w:pPr>
      <w:r>
        <w:t xml:space="preserve">Security training requirements</w:t>
      </w:r>
    </w:p>
    <w:p>
      <w:pPr>
        <w:pStyle w:val="Compact"/>
        <w:numPr>
          <w:ilvl w:val="0"/>
          <w:numId w:val="1017"/>
        </w:numPr>
      </w:pPr>
      <w:r>
        <w:t xml:space="preserve">Compliance training</w:t>
      </w:r>
    </w:p>
    <w:p>
      <w:pPr>
        <w:pStyle w:val="Compact"/>
        <w:numPr>
          <w:ilvl w:val="0"/>
          <w:numId w:val="1017"/>
        </w:numPr>
      </w:pPr>
      <w:r>
        <w:t xml:space="preserve">Role-specific training</w:t>
      </w:r>
    </w:p>
    <w:p>
      <w:pPr>
        <w:pStyle w:val="Compact"/>
        <w:numPr>
          <w:ilvl w:val="0"/>
          <w:numId w:val="1017"/>
        </w:numPr>
      </w:pPr>
      <w:r>
        <w:t xml:space="preserve">Training documentation</w:t>
      </w:r>
    </w:p>
    <w:bookmarkEnd w:id="40"/>
    <w:bookmarkEnd w:id="41"/>
    <w:bookmarkStart w:id="46" w:name="responsibilities"/>
    <w:p>
      <w:pPr>
        <w:pStyle w:val="Heading2"/>
      </w:pPr>
      <w:r>
        <w:t xml:space="preserve">13. Responsibilities</w:t>
      </w:r>
    </w:p>
    <w:bookmarkStart w:id="42" w:name="information-security-team"/>
    <w:p>
      <w:pPr>
        <w:pStyle w:val="Heading3"/>
      </w:pPr>
      <w:r>
        <w:t xml:space="preserve">13.1 Information Security Team</w:t>
      </w:r>
    </w:p>
    <w:p>
      <w:pPr>
        <w:pStyle w:val="Compact"/>
        <w:numPr>
          <w:ilvl w:val="0"/>
          <w:numId w:val="1018"/>
        </w:numPr>
      </w:pPr>
      <w:r>
        <w:t xml:space="preserve">Training program development</w:t>
      </w:r>
    </w:p>
    <w:p>
      <w:pPr>
        <w:pStyle w:val="Compact"/>
        <w:numPr>
          <w:ilvl w:val="0"/>
          <w:numId w:val="1018"/>
        </w:numPr>
      </w:pPr>
      <w:r>
        <w:t xml:space="preserve">Training delivery</w:t>
      </w:r>
    </w:p>
    <w:p>
      <w:pPr>
        <w:pStyle w:val="Compact"/>
        <w:numPr>
          <w:ilvl w:val="0"/>
          <w:numId w:val="1018"/>
        </w:numPr>
      </w:pPr>
      <w:r>
        <w:t xml:space="preserve">Training tracking</w:t>
      </w:r>
    </w:p>
    <w:p>
      <w:pPr>
        <w:pStyle w:val="Compact"/>
        <w:numPr>
          <w:ilvl w:val="0"/>
          <w:numId w:val="1018"/>
        </w:numPr>
      </w:pPr>
      <w:r>
        <w:t xml:space="preserve">Training effectiveness assessment</w:t>
      </w:r>
    </w:p>
    <w:bookmarkEnd w:id="42"/>
    <w:bookmarkStart w:id="43" w:name="human-resources"/>
    <w:p>
      <w:pPr>
        <w:pStyle w:val="Heading3"/>
      </w:pPr>
      <w:r>
        <w:t xml:space="preserve">13.2 Human Resources</w:t>
      </w:r>
    </w:p>
    <w:p>
      <w:pPr>
        <w:pStyle w:val="Compact"/>
        <w:numPr>
          <w:ilvl w:val="0"/>
          <w:numId w:val="1019"/>
        </w:numPr>
      </w:pPr>
      <w:r>
        <w:t xml:space="preserve">New hire training coordination</w:t>
      </w:r>
    </w:p>
    <w:p>
      <w:pPr>
        <w:pStyle w:val="Compact"/>
        <w:numPr>
          <w:ilvl w:val="0"/>
          <w:numId w:val="1019"/>
        </w:numPr>
      </w:pPr>
      <w:r>
        <w:t xml:space="preserve">Training record maintenance</w:t>
      </w:r>
    </w:p>
    <w:p>
      <w:pPr>
        <w:pStyle w:val="Compact"/>
        <w:numPr>
          <w:ilvl w:val="0"/>
          <w:numId w:val="1019"/>
        </w:numPr>
      </w:pPr>
      <w:r>
        <w:t xml:space="preserve">Compliance monitoring</w:t>
      </w:r>
    </w:p>
    <w:p>
      <w:pPr>
        <w:pStyle w:val="Compact"/>
        <w:numPr>
          <w:ilvl w:val="0"/>
          <w:numId w:val="1019"/>
        </w:numPr>
      </w:pPr>
      <w:r>
        <w:t xml:space="preserve">Training system management</w:t>
      </w:r>
    </w:p>
    <w:bookmarkEnd w:id="43"/>
    <w:bookmarkStart w:id="44" w:name="managers"/>
    <w:p>
      <w:pPr>
        <w:pStyle w:val="Heading3"/>
      </w:pPr>
      <w:r>
        <w:t xml:space="preserve">13.3 Managers</w:t>
      </w:r>
    </w:p>
    <w:p>
      <w:pPr>
        <w:pStyle w:val="Compact"/>
        <w:numPr>
          <w:ilvl w:val="0"/>
          <w:numId w:val="1020"/>
        </w:numPr>
      </w:pPr>
      <w:r>
        <w:t xml:space="preserve">Ensure team training completion</w:t>
      </w:r>
    </w:p>
    <w:p>
      <w:pPr>
        <w:pStyle w:val="Compact"/>
        <w:numPr>
          <w:ilvl w:val="0"/>
          <w:numId w:val="1020"/>
        </w:numPr>
      </w:pPr>
      <w:r>
        <w:t xml:space="preserve">Support training activities</w:t>
      </w:r>
    </w:p>
    <w:p>
      <w:pPr>
        <w:pStyle w:val="Compact"/>
        <w:numPr>
          <w:ilvl w:val="0"/>
          <w:numId w:val="1020"/>
        </w:numPr>
      </w:pPr>
      <w:r>
        <w:t xml:space="preserve">Reinforce training messages</w:t>
      </w:r>
    </w:p>
    <w:p>
      <w:pPr>
        <w:pStyle w:val="Compact"/>
        <w:numPr>
          <w:ilvl w:val="0"/>
          <w:numId w:val="1020"/>
        </w:numPr>
      </w:pPr>
      <w:r>
        <w:t xml:space="preserve">Provide feedback</w:t>
      </w:r>
    </w:p>
    <w:bookmarkEnd w:id="44"/>
    <w:bookmarkStart w:id="45" w:name="employees"/>
    <w:p>
      <w:pPr>
        <w:pStyle w:val="Heading3"/>
      </w:pPr>
      <w:r>
        <w:t xml:space="preserve">13.4 Employees</w:t>
      </w:r>
    </w:p>
    <w:p>
      <w:pPr>
        <w:pStyle w:val="Compact"/>
        <w:numPr>
          <w:ilvl w:val="0"/>
          <w:numId w:val="1021"/>
        </w:numPr>
      </w:pPr>
      <w:r>
        <w:t xml:space="preserve">Complete required training</w:t>
      </w:r>
    </w:p>
    <w:p>
      <w:pPr>
        <w:pStyle w:val="Compact"/>
        <w:numPr>
          <w:ilvl w:val="0"/>
          <w:numId w:val="1021"/>
        </w:numPr>
      </w:pPr>
      <w:r>
        <w:t xml:space="preserve">Apply training knowledge</w:t>
      </w:r>
    </w:p>
    <w:p>
      <w:pPr>
        <w:pStyle w:val="Compact"/>
        <w:numPr>
          <w:ilvl w:val="0"/>
          <w:numId w:val="1021"/>
        </w:numPr>
      </w:pPr>
      <w:r>
        <w:t xml:space="preserve">Report security concerns</w:t>
      </w:r>
    </w:p>
    <w:p>
      <w:pPr>
        <w:pStyle w:val="Compact"/>
        <w:numPr>
          <w:ilvl w:val="0"/>
          <w:numId w:val="1021"/>
        </w:numPr>
      </w:pPr>
      <w:r>
        <w:t xml:space="preserve">Participate in training activities</w:t>
      </w:r>
    </w:p>
    <w:bookmarkEnd w:id="45"/>
    <w:bookmarkEnd w:id="46"/>
    <w:bookmarkStart w:id="47" w:name="training-budget"/>
    <w:p>
      <w:pPr>
        <w:pStyle w:val="Heading2"/>
      </w:pPr>
      <w:r>
        <w:t xml:space="preserve">14. Training Budget</w:t>
      </w:r>
    </w:p>
    <w:p>
      <w:pPr>
        <w:pStyle w:val="Compact"/>
        <w:numPr>
          <w:ilvl w:val="0"/>
          <w:numId w:val="1022"/>
        </w:numPr>
      </w:pPr>
      <w:r>
        <w:t xml:space="preserve">Annual training budget allocation</w:t>
      </w:r>
    </w:p>
    <w:p>
      <w:pPr>
        <w:pStyle w:val="Compact"/>
        <w:numPr>
          <w:ilvl w:val="0"/>
          <w:numId w:val="1022"/>
        </w:numPr>
      </w:pPr>
      <w:r>
        <w:t xml:space="preserve">Training resource planning</w:t>
      </w:r>
    </w:p>
    <w:p>
      <w:pPr>
        <w:pStyle w:val="Compact"/>
        <w:numPr>
          <w:ilvl w:val="0"/>
          <w:numId w:val="1022"/>
        </w:numPr>
      </w:pPr>
      <w:r>
        <w:t xml:space="preserve">Cost-effective training methods</w:t>
      </w:r>
    </w:p>
    <w:p>
      <w:pPr>
        <w:pStyle w:val="Compact"/>
        <w:numPr>
          <w:ilvl w:val="0"/>
          <w:numId w:val="1022"/>
        </w:numPr>
      </w:pPr>
      <w:r>
        <w:t xml:space="preserve">ROI measurement</w:t>
      </w:r>
    </w:p>
    <w:bookmarkEnd w:id="47"/>
    <w:bookmarkStart w:id="48" w:name="review-and-updates"/>
    <w:p>
      <w:pPr>
        <w:pStyle w:val="Heading2"/>
      </w:pPr>
      <w:r>
        <w:t xml:space="preserve">15. Review and Updates</w:t>
      </w:r>
    </w:p>
    <w:p>
      <w:pPr>
        <w:pStyle w:val="FirstParagraph"/>
      </w:pPr>
      <w:r>
        <w:t xml:space="preserve">This plan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policy updates</w:t>
      </w:r>
      <w:r>
        <w:t xml:space="preserve"> </w:t>
      </w:r>
      <w:r>
        <w:t xml:space="preserve">- Following security incidents</w:t>
      </w:r>
      <w:r>
        <w:t xml:space="preserve"> </w:t>
      </w:r>
      <w:r>
        <w:t xml:space="preserve">- Following regulatory changes</w:t>
      </w:r>
      <w:r>
        <w:t xml:space="preserve"> </w:t>
      </w:r>
      <w:r>
        <w:t xml:space="preserve">- Based on training effectiveness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and managers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2025-12-02T21:00:31Z</dcterms:created>
  <dcterms:modified xsi:type="dcterms:W3CDTF">2025-12-02T21:00:31Z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