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4f48d67626ea200555a5e8517b5dff6e78c155"/>
    <w:p>
      <w:pPr>
        <w:pStyle w:val="Heading1"/>
      </w:pPr>
      <w:r>
        <w:t xml:space="preserve">Business Associate Agreement (BAA) Template</w:t>
      </w:r>
    </w:p>
    <w:p>
      <w:pPr>
        <w:pStyle w:val="FirstParagraph"/>
      </w:pPr>
      <w:r>
        <w:rPr>
          <w:b/>
          <w:bCs/>
        </w:rPr>
        <w:t xml:space="preserve">Template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Applicability:</w:t>
      </w:r>
      <w:r>
        <w:t xml:space="preserve"> </w:t>
      </w:r>
      <w:r>
        <w:t xml:space="preserve">Required when processing Protected Health Information (PHI)</w:t>
      </w:r>
    </w:p>
    <w:p>
      <w:r>
        <w:pict>
          <v:rect style="width:0;height:1.5pt" o:hralign="center" o:hrstd="t" o:hr="t"/>
        </w:pict>
      </w:r>
    </w:p>
    <w:bookmarkStart w:id="9" w:name="business-associate-agreement"/>
    <w:p>
      <w:pPr>
        <w:pStyle w:val="Heading2"/>
      </w:pPr>
      <w:r>
        <w:t xml:space="preserve">BUSINESS ASSOCIATE AGREEMENT</w:t>
      </w:r>
    </w:p>
    <w:p>
      <w:pPr>
        <w:pStyle w:val="FirstParagraph"/>
      </w:pPr>
      <w:r>
        <w:rPr>
          <w:b/>
          <w:bCs/>
        </w:rPr>
        <w:t xml:space="preserve">This Business Associate Agreement</w:t>
      </w:r>
      <w:r>
        <w:t xml:space="preserve"> </w:t>
      </w:r>
      <w:r>
        <w:t xml:space="preserve">(</w:t>
      </w:r>
      <w:r>
        <w:t xml:space="preserve">“BAA”</w:t>
      </w:r>
      <w:r>
        <w:t xml:space="preserve">) is entered into as of _____________ (</w:t>
      </w:r>
      <w:r>
        <w:t xml:space="preserve">“Effective Date”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Between:</w:t>
      </w:r>
    </w:p>
    <w:p>
      <w:pPr>
        <w:pStyle w:val="BodyText"/>
      </w:pPr>
      <w:r>
        <w:rPr>
          <w:b/>
          <w:bCs/>
        </w:rPr>
        <w:t xml:space="preserve">EcoMetricx LLC</w:t>
      </w:r>
      <w:r>
        <w:br/>
      </w:r>
      <w:r>
        <w:t xml:space="preserve">(</w:t>
      </w:r>
      <w:r>
        <w:t xml:space="preserve">“Covered Entity”</w:t>
      </w:r>
      <w:r>
        <w:t xml:space="preserve"> </w:t>
      </w:r>
      <w:r>
        <w:t xml:space="preserve">or</w:t>
      </w:r>
      <w:r>
        <w:t xml:space="preserve"> </w:t>
      </w:r>
      <w:r>
        <w:t xml:space="preserve">“Business Associate”</w:t>
      </w:r>
      <w:r>
        <w:t xml:space="preserve"> </w:t>
      </w:r>
      <w:r>
        <w:t xml:space="preserve">as applicable)</w:t>
      </w:r>
    </w:p>
    <w:p>
      <w:pPr>
        <w:pStyle w:val="BodyText"/>
      </w:pPr>
      <w:r>
        <w:rPr>
          <w:b/>
          <w:bCs/>
        </w:rPr>
        <w:t xml:space="preserve">And:</w:t>
      </w:r>
    </w:p>
    <w:p>
      <w:pPr>
        <w:pStyle w:val="BodyText"/>
      </w:pPr>
      <w:r>
        <w:rPr>
          <w:b/>
          <w:bCs/>
        </w:rPr>
        <w:t xml:space="preserve">____________________</w:t>
      </w:r>
      <w:r>
        <w:br/>
      </w:r>
      <w:r>
        <w:t xml:space="preserve">(</w:t>
      </w:r>
      <w:r>
        <w:t xml:space="preserve">“Business Associate”</w:t>
      </w:r>
      <w:r>
        <w:t xml:space="preserve"> </w:t>
      </w:r>
      <w:r>
        <w:t xml:space="preserve">or</w:t>
      </w:r>
      <w:r>
        <w:t xml:space="preserve"> </w:t>
      </w:r>
      <w:r>
        <w:t xml:space="preserve">“Covered Entity”</w:t>
      </w:r>
      <w:r>
        <w:t xml:space="preserve"> </w:t>
      </w:r>
      <w:r>
        <w:t xml:space="preserve">as applicable)</w:t>
      </w:r>
    </w:p>
    <w:p>
      <w:r>
        <w:pict>
          <v:rect style="width:0;height:1.5pt" o:hralign="center" o:hrstd="t" o:hr="t"/>
        </w:pict>
      </w:r>
    </w:p>
    <w:bookmarkEnd w:id="9"/>
    <w:bookmarkStart w:id="10" w:name="recitals"/>
    <w:p>
      <w:pPr>
        <w:pStyle w:val="Heading2"/>
      </w:pPr>
      <w:r>
        <w:t xml:space="preserve">RECITALS</w:t>
      </w:r>
    </w:p>
    <w:p>
      <w:pPr>
        <w:pStyle w:val="FirstParagraph"/>
      </w:pPr>
      <w:r>
        <w:rPr>
          <w:b/>
          <w:bCs/>
        </w:rPr>
        <w:t xml:space="preserve">WHEREAS</w:t>
      </w:r>
      <w:r>
        <w:t xml:space="preserve">, the Parties wish to comply with the Health Insurance Portability and Accountability Act of 1996 (</w:t>
      </w:r>
      <w:r>
        <w:t xml:space="preserve">“HIPAA”</w:t>
      </w:r>
      <w:r>
        <w:t xml:space="preserve">), the Health Information Technology for Economic and Clinical Health Act (</w:t>
      </w:r>
      <w:r>
        <w:t xml:space="preserve">“HITECH Act”</w:t>
      </w:r>
      <w:r>
        <w:t xml:space="preserve">), and regulations promulgated thereunder (collectively,</w:t>
      </w:r>
      <w:r>
        <w:t xml:space="preserve"> </w:t>
      </w:r>
      <w:r>
        <w:t xml:space="preserve">“HIPAA Rules”</w:t>
      </w:r>
      <w:r>
        <w:t xml:space="preserve">);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Business Associate may receive, create, maintain, or transmit Protected Health Information (</w:t>
      </w:r>
      <w:r>
        <w:t xml:space="preserve">“PHI”</w:t>
      </w:r>
      <w:r>
        <w:t xml:space="preserve">) on behalf of Covered Entity;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the Parties agree as follows:</w:t>
      </w:r>
    </w:p>
    <w:p>
      <w:r>
        <w:pict>
          <v:rect style="width:0;height:1.5pt" o:hralign="center" o:hrstd="t" o:hr="t"/>
        </w:pict>
      </w:r>
    </w:p>
    <w:bookmarkEnd w:id="10"/>
    <w:bookmarkStart w:id="11" w:name="definitions"/>
    <w:p>
      <w:pPr>
        <w:pStyle w:val="Heading2"/>
      </w:pPr>
      <w:r>
        <w:t xml:space="preserve">1. Definitions</w:t>
      </w:r>
    </w:p>
    <w:p>
      <w:pPr>
        <w:pStyle w:val="FirstParagraph"/>
      </w:pPr>
      <w:r>
        <w:t xml:space="preserve">Terms used in this BAA shall have the meanings set forth in the HIPAA Rules. Additionally:</w:t>
      </w:r>
    </w:p>
    <w:p>
      <w:pPr>
        <w:pStyle w:val="BodyText"/>
      </w:pPr>
      <w:r>
        <w:rPr>
          <w:b/>
          <w:bCs/>
        </w:rPr>
        <w:t xml:space="preserve">“Protected Health Information”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“PHI”</w:t>
      </w:r>
      <w:r>
        <w:t xml:space="preserve"> </w:t>
      </w:r>
      <w:r>
        <w:t xml:space="preserve">means individually identifiable health information as defined in 45 CFR § 160.103.</w:t>
      </w:r>
    </w:p>
    <w:p>
      <w:pPr>
        <w:pStyle w:val="BodyText"/>
      </w:pPr>
      <w:r>
        <w:rPr>
          <w:b/>
          <w:bCs/>
        </w:rPr>
        <w:t xml:space="preserve">“Electronic Protected Health Information”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“ePHI”</w:t>
      </w:r>
      <w:r>
        <w:t xml:space="preserve"> </w:t>
      </w:r>
      <w:r>
        <w:t xml:space="preserve">means PHI that is transmitted or maintained in electronic media.</w:t>
      </w:r>
    </w:p>
    <w:p>
      <w:pPr>
        <w:pStyle w:val="BodyText"/>
      </w:pPr>
      <w:r>
        <w:rPr>
          <w:b/>
          <w:bCs/>
        </w:rPr>
        <w:t xml:space="preserve">“Breach”</w:t>
      </w:r>
      <w:r>
        <w:t xml:space="preserve"> </w:t>
      </w:r>
      <w:r>
        <w:t xml:space="preserve">means the acquisition, access, use, or disclosure of PHI in violation of the Privacy Rule that compromises the security or privacy of PHI.</w:t>
      </w:r>
    </w:p>
    <w:p>
      <w:pPr>
        <w:pStyle w:val="BodyText"/>
      </w:pPr>
      <w:r>
        <w:rPr>
          <w:b/>
          <w:bCs/>
        </w:rPr>
        <w:t xml:space="preserve">“Security Incident”</w:t>
      </w:r>
      <w:r>
        <w:t xml:space="preserve"> </w:t>
      </w:r>
      <w:r>
        <w:t xml:space="preserve">means the attempted or successful unauthorized access, use, disclosure, modification, or destruction of information or interference with system operations.</w:t>
      </w:r>
    </w:p>
    <w:bookmarkEnd w:id="11"/>
    <w:bookmarkStart w:id="15" w:name="permitted-uses-and-disclosures"/>
    <w:p>
      <w:pPr>
        <w:pStyle w:val="Heading2"/>
      </w:pPr>
      <w:r>
        <w:t xml:space="preserve">2. Permitted Uses and Disclosures</w:t>
      </w:r>
    </w:p>
    <w:bookmarkStart w:id="12" w:name="general"/>
    <w:p>
      <w:pPr>
        <w:pStyle w:val="Heading3"/>
      </w:pPr>
      <w:r>
        <w:t xml:space="preserve">2.1 General</w:t>
      </w:r>
    </w:p>
    <w:p>
      <w:pPr>
        <w:pStyle w:val="FirstParagraph"/>
      </w:pPr>
      <w:r>
        <w:t xml:space="preserve">Business Associate may use or disclose PHI only to:</w:t>
      </w:r>
      <w:r>
        <w:t xml:space="preserve"> </w:t>
      </w:r>
      <w:r>
        <w:t xml:space="preserve">- Perform services under the underlying Agreement</w:t>
      </w:r>
      <w:r>
        <w:t xml:space="preserve"> </w:t>
      </w:r>
      <w:r>
        <w:t xml:space="preserve">- Comply with this BAA</w:t>
      </w:r>
      <w:r>
        <w:t xml:space="preserve"> </w:t>
      </w:r>
      <w:r>
        <w:t xml:space="preserve">- As required by law</w:t>
      </w:r>
    </w:p>
    <w:bookmarkEnd w:id="12"/>
    <w:bookmarkStart w:id="13" w:name="specific-uses"/>
    <w:p>
      <w:pPr>
        <w:pStyle w:val="Heading3"/>
      </w:pPr>
      <w:r>
        <w:t xml:space="preserve">2.2 Specific Uses</w:t>
      </w:r>
    </w:p>
    <w:p>
      <w:pPr>
        <w:pStyle w:val="FirstParagraph"/>
      </w:pPr>
      <w:r>
        <w:t xml:space="preserve">Business Associate may:</w:t>
      </w:r>
      <w:r>
        <w:t xml:space="preserve"> </w:t>
      </w:r>
      <w:r>
        <w:t xml:space="preserve">- Use PHI for proper management and administration</w:t>
      </w:r>
      <w:r>
        <w:t xml:space="preserve"> </w:t>
      </w:r>
      <w:r>
        <w:t xml:space="preserve">- Disclose PHI if required by law</w:t>
      </w:r>
      <w:r>
        <w:t xml:space="preserve"> </w:t>
      </w:r>
      <w:r>
        <w:t xml:space="preserve">- Provide data aggregation services (if applicable)</w:t>
      </w:r>
    </w:p>
    <w:bookmarkEnd w:id="13"/>
    <w:bookmarkStart w:id="14" w:name="prohibited-uses"/>
    <w:p>
      <w:pPr>
        <w:pStyle w:val="Heading3"/>
      </w:pPr>
      <w:r>
        <w:t xml:space="preserve">2.3 Prohibited Uses</w:t>
      </w:r>
    </w:p>
    <w:p>
      <w:pPr>
        <w:pStyle w:val="FirstParagraph"/>
      </w:pPr>
      <w:r>
        <w:t xml:space="preserve">Business Associate shall not:</w:t>
      </w:r>
      <w:r>
        <w:t xml:space="preserve"> </w:t>
      </w:r>
      <w:r>
        <w:t xml:space="preserve">- Use or disclose PHI in ways not permitted by this BAA</w:t>
      </w:r>
      <w:r>
        <w:t xml:space="preserve"> </w:t>
      </w:r>
      <w:r>
        <w:t xml:space="preserve">- Use PHI for marketing purposes without authorization</w:t>
      </w:r>
      <w:r>
        <w:t xml:space="preserve"> </w:t>
      </w:r>
      <w:r>
        <w:t xml:space="preserve">- Sell PHI</w:t>
      </w:r>
    </w:p>
    <w:bookmarkEnd w:id="14"/>
    <w:bookmarkEnd w:id="15"/>
    <w:bookmarkStart w:id="23" w:name="obligations-of-business-associate"/>
    <w:p>
      <w:pPr>
        <w:pStyle w:val="Heading2"/>
      </w:pPr>
      <w:r>
        <w:t xml:space="preserve">3. Obligations of Business Associate</w:t>
      </w:r>
    </w:p>
    <w:bookmarkStart w:id="16" w:name="safeguards"/>
    <w:p>
      <w:pPr>
        <w:pStyle w:val="Heading3"/>
      </w:pPr>
      <w:r>
        <w:t xml:space="preserve">3.1 Safeguards</w:t>
      </w:r>
    </w:p>
    <w:p>
      <w:pPr>
        <w:pStyle w:val="FirstParagraph"/>
      </w:pPr>
      <w:r>
        <w:t xml:space="preserve">Business Associate shall:</w:t>
      </w:r>
      <w:r>
        <w:t xml:space="preserve"> </w:t>
      </w:r>
      <w:r>
        <w:t xml:space="preserve">- Implement administrative, physical, and technical safeguards as required by HIPAA Security Rule</w:t>
      </w:r>
      <w:r>
        <w:t xml:space="preserve"> </w:t>
      </w:r>
      <w:r>
        <w:t xml:space="preserve">- Ensure confidentiality, integrity, and availability of ePHI</w:t>
      </w:r>
      <w:r>
        <w:t xml:space="preserve"> </w:t>
      </w:r>
      <w:r>
        <w:t xml:space="preserve">- Protect against reasonably anticipated threats</w:t>
      </w:r>
      <w:r>
        <w:t xml:space="preserve"> </w:t>
      </w:r>
      <w:r>
        <w:t xml:space="preserve">- Protect against impermissible uses or disclosures</w:t>
      </w:r>
      <w:r>
        <w:t xml:space="preserve"> </w:t>
      </w:r>
      <w:r>
        <w:t xml:space="preserve">- Ensure workforce compliance</w:t>
      </w:r>
    </w:p>
    <w:p>
      <w:pPr>
        <w:pStyle w:val="BodyText"/>
      </w:pPr>
      <w:r>
        <w:rPr>
          <w:b/>
          <w:bCs/>
        </w:rPr>
        <w:t xml:space="preserve">Per EcoMetricx Security Standards:</w:t>
      </w:r>
      <w:r>
        <w:t xml:space="preserve"> </w:t>
      </w:r>
      <w:r>
        <w:t xml:space="preserve">- Encryption at rest (AES-256)</w:t>
      </w:r>
      <w:r>
        <w:t xml:space="preserve"> </w:t>
      </w:r>
      <w:r>
        <w:t xml:space="preserve">- Encryption in transit (TLS 1.2+)</w:t>
      </w:r>
      <w:r>
        <w:t xml:space="preserve"> </w:t>
      </w:r>
      <w:r>
        <w:t xml:space="preserve">- Multi-factor authentication</w:t>
      </w:r>
      <w:r>
        <w:t xml:space="preserve"> </w:t>
      </w:r>
      <w:r>
        <w:t xml:space="preserve">- Access controls and logging</w:t>
      </w:r>
      <w:r>
        <w:t xml:space="preserve"> </w:t>
      </w:r>
      <w:r>
        <w:t xml:space="preserve">- Regular security assessments</w:t>
      </w:r>
    </w:p>
    <w:bookmarkEnd w:id="16"/>
    <w:bookmarkStart w:id="17" w:name="reporting"/>
    <w:p>
      <w:pPr>
        <w:pStyle w:val="Heading3"/>
      </w:pPr>
      <w:r>
        <w:t xml:space="preserve">3.2 Reporting</w:t>
      </w:r>
    </w:p>
    <w:p>
      <w:pPr>
        <w:pStyle w:val="FirstParagraph"/>
      </w:pPr>
      <w:r>
        <w:t xml:space="preserve">Business Associate shall report to Covered Entity:</w:t>
      </w:r>
      <w:r>
        <w:t xml:space="preserve"> </w:t>
      </w:r>
      <w:r>
        <w:t xml:space="preserve">- Any use or disclosure not permitted by this BAA</w:t>
      </w:r>
      <w:r>
        <w:t xml:space="preserve"> </w:t>
      </w:r>
      <w:r>
        <w:t xml:space="preserve">- Any Security Incident</w:t>
      </w:r>
      <w:r>
        <w:t xml:space="preserve"> </w:t>
      </w:r>
      <w:r>
        <w:t xml:space="preserve">- Any Breach of Unsecured PHI</w:t>
      </w:r>
    </w:p>
    <w:p>
      <w:pPr>
        <w:pStyle w:val="BodyText"/>
      </w:pPr>
      <w:r>
        <w:rPr>
          <w:b/>
          <w:bCs/>
        </w:rPr>
        <w:t xml:space="preserve">Reporting Timeline:</w:t>
      </w:r>
      <w:r>
        <w:t xml:space="preserve"> </w:t>
      </w:r>
      <w:r>
        <w:t xml:space="preserve">- Security Incidents: Within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of discovery</w:t>
      </w:r>
      <w:r>
        <w:t xml:space="preserve"> </w:t>
      </w:r>
      <w:r>
        <w:t xml:space="preserve">- Breaches: Within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of discovery (without unreasonable delay and no later than 60 days)</w:t>
      </w:r>
    </w:p>
    <w:bookmarkEnd w:id="17"/>
    <w:bookmarkStart w:id="18" w:name="subcontractors"/>
    <w:p>
      <w:pPr>
        <w:pStyle w:val="Heading3"/>
      </w:pPr>
      <w:r>
        <w:t xml:space="preserve">3.3 Subcontractors</w:t>
      </w:r>
    </w:p>
    <w:p>
      <w:pPr>
        <w:pStyle w:val="FirstParagraph"/>
      </w:pPr>
      <w:r>
        <w:t xml:space="preserve">Business Associate shall:</w:t>
      </w:r>
      <w:r>
        <w:t xml:space="preserve"> </w:t>
      </w:r>
      <w:r>
        <w:t xml:space="preserve">- Ensure subcontractors agree to same restrictions</w:t>
      </w:r>
      <w:r>
        <w:t xml:space="preserve"> </w:t>
      </w:r>
      <w:r>
        <w:t xml:space="preserve">- Obtain satisfactory assurances from subcontractors</w:t>
      </w:r>
      <w:r>
        <w:t xml:space="preserve"> </w:t>
      </w:r>
      <w:r>
        <w:t xml:space="preserve">- Maintain written agreements with subcontractors</w:t>
      </w:r>
    </w:p>
    <w:bookmarkEnd w:id="18"/>
    <w:bookmarkStart w:id="19" w:name="access-to-phi"/>
    <w:p>
      <w:pPr>
        <w:pStyle w:val="Heading3"/>
      </w:pPr>
      <w:r>
        <w:t xml:space="preserve">3.4 Access to PHI</w:t>
      </w:r>
    </w:p>
    <w:p>
      <w:pPr>
        <w:pStyle w:val="FirstParagraph"/>
      </w:pPr>
      <w:r>
        <w:t xml:space="preserve">Business Associate shall:</w:t>
      </w:r>
      <w:r>
        <w:t xml:space="preserve"> </w:t>
      </w:r>
      <w:r>
        <w:t xml:space="preserve">- Make PHI available to individuals upon request</w:t>
      </w:r>
      <w:r>
        <w:t xml:space="preserve"> </w:t>
      </w:r>
      <w:r>
        <w:t xml:space="preserve">- Support Covered Entity’s obligations under 45 CFR § 164.524</w:t>
      </w:r>
      <w:r>
        <w:t xml:space="preserve"> </w:t>
      </w:r>
      <w:r>
        <w:t xml:space="preserve">- Respond to requests within 30 days</w:t>
      </w:r>
    </w:p>
    <w:bookmarkEnd w:id="19"/>
    <w:bookmarkStart w:id="20" w:name="amendment"/>
    <w:p>
      <w:pPr>
        <w:pStyle w:val="Heading3"/>
      </w:pPr>
      <w:r>
        <w:t xml:space="preserve">3.5 Amendment</w:t>
      </w:r>
    </w:p>
    <w:p>
      <w:pPr>
        <w:pStyle w:val="FirstParagraph"/>
      </w:pPr>
      <w:r>
        <w:t xml:space="preserve">Business Associate shall:</w:t>
      </w:r>
      <w:r>
        <w:t xml:space="preserve"> </w:t>
      </w:r>
      <w:r>
        <w:t xml:space="preserve">- Make PHI available for amendment</w:t>
      </w:r>
      <w:r>
        <w:t xml:space="preserve"> </w:t>
      </w:r>
      <w:r>
        <w:t xml:space="preserve">- Support Covered Entity’s obligations under 45 CFR § 164.526</w:t>
      </w:r>
      <w:r>
        <w:t xml:space="preserve"> </w:t>
      </w:r>
      <w:r>
        <w:t xml:space="preserve">- Incorporate amendments as directed</w:t>
      </w:r>
    </w:p>
    <w:bookmarkEnd w:id="20"/>
    <w:bookmarkStart w:id="21" w:name="accounting-of-disclosures"/>
    <w:p>
      <w:pPr>
        <w:pStyle w:val="Heading3"/>
      </w:pPr>
      <w:r>
        <w:t xml:space="preserve">3.6 Accounting of Disclosures</w:t>
      </w:r>
    </w:p>
    <w:p>
      <w:pPr>
        <w:pStyle w:val="FirstParagraph"/>
      </w:pPr>
      <w:r>
        <w:t xml:space="preserve">Business Associate shall:</w:t>
      </w:r>
      <w:r>
        <w:t xml:space="preserve"> </w:t>
      </w:r>
      <w:r>
        <w:t xml:space="preserve">- Document disclosures as required</w:t>
      </w:r>
      <w:r>
        <w:t xml:space="preserve"> </w:t>
      </w:r>
      <w:r>
        <w:t xml:space="preserve">- Make information available for accounting</w:t>
      </w:r>
      <w:r>
        <w:t xml:space="preserve"> </w:t>
      </w:r>
      <w:r>
        <w:t xml:space="preserve">- Support Covered Entity’s obligations under 45 CFR § 164.528</w:t>
      </w:r>
    </w:p>
    <w:bookmarkEnd w:id="21"/>
    <w:bookmarkStart w:id="22" w:name="access-to-records"/>
    <w:p>
      <w:pPr>
        <w:pStyle w:val="Heading3"/>
      </w:pPr>
      <w:r>
        <w:t xml:space="preserve">3.7 Access to Records</w:t>
      </w:r>
    </w:p>
    <w:p>
      <w:pPr>
        <w:pStyle w:val="FirstParagraph"/>
      </w:pPr>
      <w:r>
        <w:t xml:space="preserve">Business Associate shall make internal practices and records available to Secretary of HHS for compliance determination.</w:t>
      </w:r>
    </w:p>
    <w:bookmarkEnd w:id="22"/>
    <w:bookmarkEnd w:id="23"/>
    <w:bookmarkStart w:id="24" w:name="obligations-of-covered-entity"/>
    <w:p>
      <w:pPr>
        <w:pStyle w:val="Heading2"/>
      </w:pPr>
      <w:r>
        <w:t xml:space="preserve">4. Obligations of Covered Entity</w:t>
      </w:r>
    </w:p>
    <w:p>
      <w:pPr>
        <w:pStyle w:val="FirstParagraph"/>
      </w:pPr>
      <w:r>
        <w:t xml:space="preserve">Covered Entity shall:</w:t>
      </w:r>
      <w:r>
        <w:t xml:space="preserve"> </w:t>
      </w:r>
      <w:r>
        <w:t xml:space="preserve">- Provide notice of privacy practices limitations</w:t>
      </w:r>
      <w:r>
        <w:t xml:space="preserve"> </w:t>
      </w:r>
      <w:r>
        <w:t xml:space="preserve">- Notify Business Associate of permission changes</w:t>
      </w:r>
      <w:r>
        <w:t xml:space="preserve"> </w:t>
      </w:r>
      <w:r>
        <w:t xml:space="preserve">- Notify of restrictions on use or disclosure</w:t>
      </w:r>
    </w:p>
    <w:bookmarkEnd w:id="24"/>
    <w:bookmarkStart w:id="28" w:name="term-and-termination"/>
    <w:p>
      <w:pPr>
        <w:pStyle w:val="Heading2"/>
      </w:pPr>
      <w:r>
        <w:t xml:space="preserve">5. Term and Termination</w:t>
      </w:r>
    </w:p>
    <w:bookmarkStart w:id="25" w:name="term"/>
    <w:p>
      <w:pPr>
        <w:pStyle w:val="Heading3"/>
      </w:pPr>
      <w:r>
        <w:t xml:space="preserve">5.1 Term</w:t>
      </w:r>
    </w:p>
    <w:p>
      <w:pPr>
        <w:pStyle w:val="FirstParagraph"/>
      </w:pPr>
      <w:r>
        <w:t xml:space="preserve">This BAA is effective upon the Effective Date and continues until terminated.</w:t>
      </w:r>
    </w:p>
    <w:bookmarkEnd w:id="25"/>
    <w:bookmarkStart w:id="26" w:name="termination-for-breach"/>
    <w:p>
      <w:pPr>
        <w:pStyle w:val="Heading3"/>
      </w:pPr>
      <w:r>
        <w:t xml:space="preserve">5.2 Termination for Breach</w:t>
      </w:r>
    </w:p>
    <w:p>
      <w:pPr>
        <w:pStyle w:val="FirstParagraph"/>
      </w:pPr>
      <w:r>
        <w:t xml:space="preserve">Either Party may terminate upon material breach if:</w:t>
      </w:r>
      <w:r>
        <w:t xml:space="preserve"> </w:t>
      </w:r>
      <w:r>
        <w:t xml:space="preserve">- Written notice provided</w:t>
      </w:r>
      <w:r>
        <w:t xml:space="preserve"> </w:t>
      </w:r>
      <w:r>
        <w:t xml:space="preserve">- Breach not cured within 30 days</w:t>
      </w:r>
      <w:r>
        <w:t xml:space="preserve"> </w:t>
      </w:r>
      <w:r>
        <w:t xml:space="preserve">- Cure is not feasible</w:t>
      </w:r>
    </w:p>
    <w:bookmarkEnd w:id="26"/>
    <w:bookmarkStart w:id="27" w:name="effect-of-termination"/>
    <w:p>
      <w:pPr>
        <w:pStyle w:val="Heading3"/>
      </w:pPr>
      <w:r>
        <w:t xml:space="preserve">5.3 Effect of Termination</w:t>
      </w:r>
    </w:p>
    <w:p>
      <w:pPr>
        <w:pStyle w:val="FirstParagraph"/>
      </w:pPr>
      <w:r>
        <w:t xml:space="preserve">Upon termination, Business Associate shall:</w:t>
      </w:r>
      <w:r>
        <w:t xml:space="preserve"> </w:t>
      </w:r>
      <w:r>
        <w:t xml:space="preserve">- Return or destroy all PHI (if feasible)</w:t>
      </w:r>
      <w:r>
        <w:t xml:space="preserve"> </w:t>
      </w:r>
      <w:r>
        <w:t xml:space="preserve">- Extend protections if return/destruction not feasible</w:t>
      </w:r>
      <w:r>
        <w:t xml:space="preserve"> </w:t>
      </w:r>
      <w:r>
        <w:t xml:space="preserve">- Limit further uses and disclosures</w:t>
      </w:r>
    </w:p>
    <w:bookmarkEnd w:id="27"/>
    <w:bookmarkEnd w:id="28"/>
    <w:bookmarkStart w:id="35" w:name="miscellaneous"/>
    <w:p>
      <w:pPr>
        <w:pStyle w:val="Heading2"/>
      </w:pPr>
      <w:r>
        <w:t xml:space="preserve">6. Miscellaneous</w:t>
      </w:r>
    </w:p>
    <w:bookmarkStart w:id="29" w:name="regulatory-references"/>
    <w:p>
      <w:pPr>
        <w:pStyle w:val="Heading3"/>
      </w:pPr>
      <w:r>
        <w:t xml:space="preserve">6.1 Regulatory References</w:t>
      </w:r>
    </w:p>
    <w:p>
      <w:pPr>
        <w:pStyle w:val="FirstParagraph"/>
      </w:pPr>
      <w:r>
        <w:t xml:space="preserve">References to HIPAA Rules include amendments.</w:t>
      </w:r>
    </w:p>
    <w:bookmarkEnd w:id="29"/>
    <w:bookmarkStart w:id="30" w:name="amendment-1"/>
    <w:p>
      <w:pPr>
        <w:pStyle w:val="Heading3"/>
      </w:pPr>
      <w:r>
        <w:t xml:space="preserve">6.2 Amendment</w:t>
      </w:r>
    </w:p>
    <w:p>
      <w:pPr>
        <w:pStyle w:val="FirstParagraph"/>
      </w:pPr>
      <w:r>
        <w:t xml:space="preserve">Modifications must be in writing signed by both Parties.</w:t>
      </w:r>
    </w:p>
    <w:bookmarkEnd w:id="30"/>
    <w:bookmarkStart w:id="31" w:name="survival"/>
    <w:p>
      <w:pPr>
        <w:pStyle w:val="Heading3"/>
      </w:pPr>
      <w:r>
        <w:t xml:space="preserve">6.3 Survival</w:t>
      </w:r>
    </w:p>
    <w:p>
      <w:pPr>
        <w:pStyle w:val="FirstParagraph"/>
      </w:pPr>
      <w:r>
        <w:t xml:space="preserve">Obligations regarding PHI survive termination.</w:t>
      </w:r>
    </w:p>
    <w:bookmarkEnd w:id="31"/>
    <w:bookmarkStart w:id="32" w:name="interpretation"/>
    <w:p>
      <w:pPr>
        <w:pStyle w:val="Heading3"/>
      </w:pPr>
      <w:r>
        <w:t xml:space="preserve">6.4 Interpretation</w:t>
      </w:r>
    </w:p>
    <w:p>
      <w:pPr>
        <w:pStyle w:val="FirstParagraph"/>
      </w:pPr>
      <w:r>
        <w:t xml:space="preserve">This BAA shall be interpreted consistent with HIPAA Rules.</w:t>
      </w:r>
    </w:p>
    <w:bookmarkEnd w:id="32"/>
    <w:bookmarkStart w:id="33" w:name="governing-law"/>
    <w:p>
      <w:pPr>
        <w:pStyle w:val="Heading3"/>
      </w:pPr>
      <w:r>
        <w:t xml:space="preserve">6.5 Governing Law</w:t>
      </w:r>
    </w:p>
    <w:p>
      <w:pPr>
        <w:pStyle w:val="FirstParagraph"/>
      </w:pPr>
      <w:r>
        <w:t xml:space="preserve">This Agreement is governed by federal law and the laws of _________________________.</w:t>
      </w:r>
    </w:p>
    <w:bookmarkEnd w:id="33"/>
    <w:bookmarkStart w:id="34" w:name="no-third-party-beneficiaries"/>
    <w:p>
      <w:pPr>
        <w:pStyle w:val="Heading3"/>
      </w:pPr>
      <w:r>
        <w:t xml:space="preserve">6.6 No Third-Party Beneficiaries</w:t>
      </w:r>
    </w:p>
    <w:p>
      <w:pPr>
        <w:pStyle w:val="FirstParagraph"/>
      </w:pPr>
      <w:r>
        <w:t xml:space="preserve">This BAA is for the benefit of the Parties only.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ignatures"/>
    <w:p>
      <w:pPr>
        <w:pStyle w:val="Heading2"/>
      </w:pPr>
      <w:r>
        <w:t xml:space="preserve">Signatures</w:t>
      </w:r>
    </w:p>
    <w:p>
      <w:pPr>
        <w:pStyle w:val="FirstParagraph"/>
      </w:pPr>
      <w:r>
        <w:rPr>
          <w:b/>
          <w:bCs/>
        </w:rPr>
        <w:t xml:space="preserve">Covered Entity:</w:t>
      </w:r>
    </w:p>
    <w:p>
      <w:pPr>
        <w:pStyle w:val="BodyText"/>
      </w:pPr>
      <w:r>
        <w:t xml:space="preserve">Name: ______________________</w:t>
      </w:r>
      <w:r>
        <w:br/>
      </w:r>
      <w:r>
        <w:t xml:space="preserve">Title: ______________________</w:t>
      </w:r>
      <w:r>
        <w:br/>
      </w:r>
      <w:r>
        <w:t xml:space="preserve">Date: ______________________</w:t>
      </w:r>
      <w:r>
        <w:br/>
      </w:r>
      <w:r>
        <w:t xml:space="preserve">Signature: ______________________</w:t>
      </w:r>
    </w:p>
    <w:p>
      <w:pPr>
        <w:pStyle w:val="BodyText"/>
      </w:pPr>
      <w:r>
        <w:rPr>
          <w:b/>
          <w:bCs/>
        </w:rPr>
        <w:t xml:space="preserve">Business Associate:</w:t>
      </w:r>
    </w:p>
    <w:p>
      <w:pPr>
        <w:pStyle w:val="BodyText"/>
      </w:pPr>
      <w:r>
        <w:t xml:space="preserve">Name: ______________________</w:t>
      </w:r>
      <w:r>
        <w:br/>
      </w:r>
      <w:r>
        <w:t xml:space="preserve">Title: ______________________</w:t>
      </w:r>
      <w:r>
        <w:br/>
      </w:r>
      <w:r>
        <w:t xml:space="preserve">Date: ______________________</w:t>
      </w:r>
      <w:r>
        <w:br/>
      </w:r>
      <w:r>
        <w:t xml:space="preserve">Signature: ______________________</w:t>
      </w:r>
    </w:p>
    <w:p>
      <w:r>
        <w:pict>
          <v:rect style="width:0;height:1.5pt" o:hralign="center" o:hrstd="t" o:hr="t"/>
        </w:pict>
      </w:r>
    </w:p>
    <w:bookmarkEnd w:id="36"/>
    <w:bookmarkStart w:id="37" w:name="exhibit-a-description-of-services"/>
    <w:p>
      <w:pPr>
        <w:pStyle w:val="Heading2"/>
      </w:pPr>
      <w:r>
        <w:t xml:space="preserve">Exhibit A: Description of Services</w:t>
      </w:r>
    </w:p>
    <w:p>
      <w:pPr>
        <w:pStyle w:val="FirstParagraph"/>
      </w:pPr>
      <w:r>
        <w:t xml:space="preserve">[Describe the services involving PHI]</w:t>
      </w:r>
    </w:p>
    <w:bookmarkEnd w:id="37"/>
    <w:bookmarkStart w:id="38" w:name="exhibit-b-permitted-uses-and-disclosures"/>
    <w:p>
      <w:pPr>
        <w:pStyle w:val="Heading2"/>
      </w:pPr>
      <w:r>
        <w:t xml:space="preserve">Exhibit B: Permitted Uses and Disclosures</w:t>
      </w:r>
    </w:p>
    <w:p>
      <w:pPr>
        <w:pStyle w:val="FirstParagraph"/>
      </w:pPr>
      <w:r>
        <w:t xml:space="preserve">[Specify permitted uses if different from standard]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Template Version 1.0 | December 2025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template should be reviewed by legal counsel before use.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2025-12-05T23:38:35Z</dcterms:created>
  <dcterms:modified xsi:type="dcterms:W3CDTF">2025-12-05T23:38:35Z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