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clean-desk-and-clear-screen-policy"/>
    <w:p>
      <w:pPr>
        <w:pStyle w:val="Heading1"/>
      </w:pPr>
      <w:r>
        <w:t xml:space="preserve">Clean Desk and Clear Screen Policy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December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Annually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Establish requirements for protecting sensitive information in the workplace by ensuring clean desks and clear screens. Supports SOC 2 Confidentiality criteria and aligns with ISO 27001 A.7.7.</w:t>
      </w:r>
    </w:p>
    <w:bookmarkEnd w:id="9"/>
    <w:bookmarkStart w:id="10" w:name="scope"/>
    <w:p>
      <w:pPr>
        <w:pStyle w:val="Heading2"/>
      </w:pPr>
      <w:r>
        <w:t xml:space="preserve">2. Scope</w:t>
      </w:r>
    </w:p>
    <w:p>
      <w:pPr>
        <w:pStyle w:val="Compact"/>
        <w:numPr>
          <w:ilvl w:val="0"/>
          <w:numId w:val="1001"/>
        </w:numPr>
      </w:pPr>
      <w:r>
        <w:t xml:space="preserve">All EcoMetricx employees and contractors</w:t>
      </w:r>
    </w:p>
    <w:p>
      <w:pPr>
        <w:pStyle w:val="Compact"/>
        <w:numPr>
          <w:ilvl w:val="0"/>
          <w:numId w:val="1001"/>
        </w:numPr>
      </w:pPr>
      <w:r>
        <w:t xml:space="preserve">All work locations (offices, home offices, remote locations)</w:t>
      </w:r>
    </w:p>
    <w:p>
      <w:pPr>
        <w:pStyle w:val="Compact"/>
        <w:numPr>
          <w:ilvl w:val="0"/>
          <w:numId w:val="1001"/>
        </w:numPr>
      </w:pPr>
      <w:r>
        <w:t xml:space="preserve">All company devices and workstations</w:t>
      </w:r>
    </w:p>
    <w:p>
      <w:pPr>
        <w:pStyle w:val="Compact"/>
        <w:numPr>
          <w:ilvl w:val="0"/>
          <w:numId w:val="1001"/>
        </w:numPr>
      </w:pPr>
      <w:r>
        <w:t xml:space="preserve">Physical and electronic documents</w:t>
      </w:r>
    </w:p>
    <w:bookmarkEnd w:id="10"/>
    <w:bookmarkStart w:id="14" w:name="clean-desk-requirements"/>
    <w:p>
      <w:pPr>
        <w:pStyle w:val="Heading2"/>
      </w:pPr>
      <w:r>
        <w:t xml:space="preserve">3. Clean Desk Requirements</w:t>
      </w:r>
    </w:p>
    <w:bookmarkStart w:id="11" w:name="end-of-day"/>
    <w:p>
      <w:pPr>
        <w:pStyle w:val="Heading3"/>
      </w:pPr>
      <w:r>
        <w:t xml:space="preserve">3.1 End of Day</w:t>
      </w:r>
    </w:p>
    <w:p>
      <w:pPr>
        <w:pStyle w:val="FirstParagraph"/>
      </w:pPr>
      <w:r>
        <w:t xml:space="preserve">Before leaving the workspace:</w:t>
      </w:r>
    </w:p>
    <w:p>
      <w:pPr>
        <w:pStyle w:val="Compact"/>
        <w:numPr>
          <w:ilvl w:val="0"/>
          <w:numId w:val="1002"/>
        </w:numPr>
      </w:pPr>
      <w:r>
        <w:t xml:space="preserve">Clear all documents from desk surface</w:t>
      </w:r>
    </w:p>
    <w:p>
      <w:pPr>
        <w:pStyle w:val="Compact"/>
        <w:numPr>
          <w:ilvl w:val="0"/>
          <w:numId w:val="1003"/>
        </w:numPr>
      </w:pPr>
      <w:r>
        <w:t xml:space="preserve">Secure Confidential/Restricted documents in locked storage</w:t>
      </w:r>
    </w:p>
    <w:p>
      <w:pPr>
        <w:pStyle w:val="Compact"/>
        <w:numPr>
          <w:ilvl w:val="0"/>
          <w:numId w:val="1004"/>
        </w:numPr>
      </w:pPr>
      <w:r>
        <w:t xml:space="preserve">Remove sticky notes with sensitive information</w:t>
      </w:r>
    </w:p>
    <w:p>
      <w:pPr>
        <w:pStyle w:val="Compact"/>
        <w:numPr>
          <w:ilvl w:val="0"/>
          <w:numId w:val="1005"/>
        </w:numPr>
      </w:pPr>
      <w:r>
        <w:t xml:space="preserve">Store portable media (USB drives) securely</w:t>
      </w:r>
    </w:p>
    <w:p>
      <w:pPr>
        <w:pStyle w:val="Compact"/>
        <w:numPr>
          <w:ilvl w:val="0"/>
          <w:numId w:val="1006"/>
        </w:numPr>
      </w:pPr>
      <w:r>
        <w:t xml:space="preserve">Clear whiteboards with sensitive information</w:t>
      </w:r>
    </w:p>
    <w:bookmarkEnd w:id="11"/>
    <w:bookmarkStart w:id="12" w:name="during-work-hours"/>
    <w:p>
      <w:pPr>
        <w:pStyle w:val="Heading3"/>
      </w:pPr>
      <w:r>
        <w:t xml:space="preserve">3.2 During Work Hours</w:t>
      </w:r>
    </w:p>
    <w:p>
      <w:pPr>
        <w:pStyle w:val="FirstParagraph"/>
      </w:pPr>
      <w:r>
        <w:t xml:space="preserve">When away from desk (meetings, breaks, etc.):</w:t>
      </w:r>
    </w:p>
    <w:p>
      <w:pPr>
        <w:pStyle w:val="Compact"/>
        <w:numPr>
          <w:ilvl w:val="0"/>
          <w:numId w:val="1007"/>
        </w:numPr>
      </w:pPr>
      <w:r>
        <w:t xml:space="preserve">Turn over or cover sensitive documents</w:t>
      </w:r>
    </w:p>
    <w:p>
      <w:pPr>
        <w:pStyle w:val="Compact"/>
        <w:numPr>
          <w:ilvl w:val="0"/>
          <w:numId w:val="1008"/>
        </w:numPr>
      </w:pPr>
      <w:r>
        <w:t xml:space="preserve">Do not leave Confidential documents unattended</w:t>
      </w:r>
    </w:p>
    <w:p>
      <w:pPr>
        <w:pStyle w:val="Compact"/>
        <w:numPr>
          <w:ilvl w:val="0"/>
          <w:numId w:val="1009"/>
        </w:numPr>
      </w:pPr>
      <w:r>
        <w:t xml:space="preserve">Secure Restricted documents when not actively in use</w:t>
      </w:r>
    </w:p>
    <w:bookmarkEnd w:id="12"/>
    <w:bookmarkStart w:id="13" w:name="document-handling-by-classification"/>
    <w:p>
      <w:pPr>
        <w:pStyle w:val="Heading3"/>
      </w:pPr>
      <w:r>
        <w:t xml:space="preserve">3.3 Document Handling by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Desk Handling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May remain on desk</w:t>
            </w:r>
          </w:p>
        </w:tc>
        <w:tc>
          <w:tcPr/>
          <w:p>
            <w:pPr>
              <w:pStyle w:val="Compact"/>
            </w:pPr>
            <w:r>
              <w:t xml:space="preserve">Open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Minimize visible exposure</w:t>
            </w:r>
          </w:p>
        </w:tc>
        <w:tc>
          <w:tcPr/>
          <w:p>
            <w:pPr>
              <w:pStyle w:val="Compact"/>
            </w:pPr>
            <w:r>
              <w:t xml:space="preserve">Standard filing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Do not leave unattended</w:t>
            </w:r>
          </w:p>
        </w:tc>
        <w:tc>
          <w:tcPr/>
          <w:p>
            <w:pPr>
              <w:pStyle w:val="Compact"/>
            </w:pPr>
            <w:r>
              <w:t xml:space="preserve">Locked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Must be secured at all times</w:t>
            </w:r>
          </w:p>
        </w:tc>
        <w:tc>
          <w:tcPr/>
          <w:p>
            <w:pPr>
              <w:pStyle w:val="Compact"/>
            </w:pPr>
            <w:r>
              <w:t xml:space="preserve">Locked storage with access log</w:t>
            </w:r>
          </w:p>
        </w:tc>
      </w:tr>
    </w:tbl>
    <w:bookmarkEnd w:id="13"/>
    <w:bookmarkEnd w:id="14"/>
    <w:bookmarkStart w:id="18" w:name="clear-screen-requirements"/>
    <w:p>
      <w:pPr>
        <w:pStyle w:val="Heading2"/>
      </w:pPr>
      <w:r>
        <w:t xml:space="preserve">4. Clear Screen Requirements</w:t>
      </w:r>
    </w:p>
    <w:bookmarkStart w:id="15" w:name="screen-lock"/>
    <w:p>
      <w:pPr>
        <w:pStyle w:val="Heading3"/>
      </w:pPr>
      <w:r>
        <w:t xml:space="preserve">4.1 Screen Lock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Automatic Lock:</w:t>
      </w:r>
      <w:r>
        <w:t xml:space="preserve"> </w:t>
      </w:r>
      <w:r>
        <w:t xml:space="preserve">Screens must lock after 5 minutes of inactivity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Manual Lock:</w:t>
      </w:r>
      <w:r>
        <w:t xml:space="preserve"> </w:t>
      </w:r>
      <w:r>
        <w:t xml:space="preserve">Lock screen when stepping away (Windows: Win+L, Mac: Ctrl+Cmd+Q)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Unattended Devices:</w:t>
      </w:r>
      <w:r>
        <w:t xml:space="preserve"> </w:t>
      </w:r>
      <w:r>
        <w:t xml:space="preserve">Never leave devices unlocked and unattended</w:t>
      </w:r>
    </w:p>
    <w:bookmarkEnd w:id="15"/>
    <w:bookmarkStart w:id="16" w:name="configuration-requirements"/>
    <w:p>
      <w:pPr>
        <w:pStyle w:val="Heading3"/>
      </w:pPr>
      <w:r>
        <w:t xml:space="preserve">4.2 Configuration Requirements</w:t>
      </w:r>
    </w:p>
    <w:p>
      <w:pPr>
        <w:pStyle w:val="FirstParagraph"/>
      </w:pPr>
      <w:r>
        <w:t xml:space="preserve">All EcoMetricx devices must have:</w:t>
      </w:r>
      <w:r>
        <w:t xml:space="preserve"> </w:t>
      </w:r>
      <w:r>
        <w:t xml:space="preserve">- [ ] Screen saver enabled</w:t>
      </w:r>
      <w:r>
        <w:t xml:space="preserve"> </w:t>
      </w:r>
      <w:r>
        <w:t xml:space="preserve">- [ ] Password/PIN required to unlock</w:t>
      </w:r>
      <w:r>
        <w:t xml:space="preserve"> </w:t>
      </w:r>
      <w:r>
        <w:t xml:space="preserve">- [ ] Automatic lock after 5 minutes maximum</w:t>
      </w:r>
    </w:p>
    <w:bookmarkEnd w:id="16"/>
    <w:bookmarkStart w:id="17" w:name="public-locations"/>
    <w:p>
      <w:pPr>
        <w:pStyle w:val="Heading3"/>
      </w:pPr>
      <w:r>
        <w:t xml:space="preserve">4.3 Public Locations</w:t>
      </w:r>
    </w:p>
    <w:p>
      <w:pPr>
        <w:pStyle w:val="FirstParagraph"/>
      </w:pPr>
      <w:r>
        <w:t xml:space="preserve">When working in public locations (coffee shops, airports, etc.):</w:t>
      </w:r>
      <w:r>
        <w:t xml:space="preserve"> </w:t>
      </w:r>
      <w:r>
        <w:t xml:space="preserve">- [ ] Use privacy screen filter</w:t>
      </w:r>
      <w:r>
        <w:t xml:space="preserve"> </w:t>
      </w:r>
      <w:r>
        <w:t xml:space="preserve">- [ ] Position screen away from observers</w:t>
      </w:r>
      <w:r>
        <w:t xml:space="preserve"> </w:t>
      </w:r>
      <w:r>
        <w:t xml:space="preserve">- [ ] Avoid displaying Confidential/Restricted data</w:t>
      </w:r>
      <w:r>
        <w:t xml:space="preserve"> </w:t>
      </w:r>
      <w:r>
        <w:t xml:space="preserve">- [ ] Lock screen before any absence</w:t>
      </w:r>
    </w:p>
    <w:bookmarkEnd w:id="17"/>
    <w:bookmarkEnd w:id="18"/>
    <w:bookmarkStart w:id="21" w:name="printing-and-copying"/>
    <w:p>
      <w:pPr>
        <w:pStyle w:val="Heading2"/>
      </w:pPr>
      <w:r>
        <w:t xml:space="preserve">5. Printing and Copying</w:t>
      </w:r>
    </w:p>
    <w:bookmarkStart w:id="19" w:name="sensitive-documents"/>
    <w:p>
      <w:pPr>
        <w:pStyle w:val="Heading3"/>
      </w:pPr>
      <w:r>
        <w:t xml:space="preserve">5.1 Sensitive Documents</w:t>
      </w:r>
    </w:p>
    <w:p>
      <w:pPr>
        <w:pStyle w:val="Compact"/>
        <w:numPr>
          <w:ilvl w:val="0"/>
          <w:numId w:val="1011"/>
        </w:numPr>
      </w:pPr>
      <w:r>
        <w:t xml:space="preserve">Retrieve printed documents immediately</w:t>
      </w:r>
    </w:p>
    <w:p>
      <w:pPr>
        <w:pStyle w:val="Compact"/>
        <w:numPr>
          <w:ilvl w:val="0"/>
          <w:numId w:val="1012"/>
        </w:numPr>
      </w:pPr>
      <w:r>
        <w:t xml:space="preserve">Do not leave documents on printer/copier</w:t>
      </w:r>
    </w:p>
    <w:p>
      <w:pPr>
        <w:pStyle w:val="Compact"/>
        <w:numPr>
          <w:ilvl w:val="0"/>
          <w:numId w:val="1013"/>
        </w:numPr>
      </w:pPr>
      <w:r>
        <w:t xml:space="preserve">Use secure print feature for Confidential/Restricted documents</w:t>
      </w:r>
    </w:p>
    <w:p>
      <w:pPr>
        <w:pStyle w:val="Compact"/>
        <w:numPr>
          <w:ilvl w:val="0"/>
          <w:numId w:val="1014"/>
        </w:numPr>
      </w:pPr>
      <w:r>
        <w:t xml:space="preserve">Dispose of mis-prints in secure shredding bin</w:t>
      </w:r>
    </w:p>
    <w:bookmarkEnd w:id="19"/>
    <w:bookmarkStart w:id="20" w:name="copy-machines"/>
    <w:p>
      <w:pPr>
        <w:pStyle w:val="Heading3"/>
      </w:pPr>
      <w:r>
        <w:t xml:space="preserve">5.2 Copy Machines</w:t>
      </w:r>
    </w:p>
    <w:p>
      <w:pPr>
        <w:pStyle w:val="Compact"/>
        <w:numPr>
          <w:ilvl w:val="0"/>
          <w:numId w:val="1015"/>
        </w:numPr>
      </w:pPr>
      <w:r>
        <w:t xml:space="preserve">Clear copy machine memory after scanning Confidential documents</w:t>
      </w:r>
    </w:p>
    <w:p>
      <w:pPr>
        <w:pStyle w:val="Compact"/>
        <w:numPr>
          <w:ilvl w:val="0"/>
          <w:numId w:val="1016"/>
        </w:numPr>
      </w:pPr>
      <w:r>
        <w:t xml:space="preserve">Remove originals immediately after copying</w:t>
      </w:r>
    </w:p>
    <w:bookmarkEnd w:id="20"/>
    <w:bookmarkEnd w:id="21"/>
    <w:bookmarkStart w:id="24" w:name="meetings-and-shared-spaces"/>
    <w:p>
      <w:pPr>
        <w:pStyle w:val="Heading2"/>
      </w:pPr>
      <w:r>
        <w:t xml:space="preserve">6. Meetings and Shared Spaces</w:t>
      </w:r>
    </w:p>
    <w:bookmarkStart w:id="22" w:name="before-meetings"/>
    <w:p>
      <w:pPr>
        <w:pStyle w:val="Heading3"/>
      </w:pPr>
      <w:r>
        <w:t xml:space="preserve">6.1 Before Meetings</w:t>
      </w:r>
    </w:p>
    <w:p>
      <w:pPr>
        <w:pStyle w:val="Compact"/>
        <w:numPr>
          <w:ilvl w:val="0"/>
          <w:numId w:val="1017"/>
        </w:numPr>
      </w:pPr>
      <w:r>
        <w:t xml:space="preserve">Remove previous meeting materials from whiteboards</w:t>
      </w:r>
    </w:p>
    <w:p>
      <w:pPr>
        <w:pStyle w:val="Compact"/>
        <w:numPr>
          <w:ilvl w:val="0"/>
          <w:numId w:val="1018"/>
        </w:numPr>
      </w:pPr>
      <w:r>
        <w:t xml:space="preserve">Clear any sensitive documents left by others</w:t>
      </w:r>
    </w:p>
    <w:bookmarkEnd w:id="22"/>
    <w:bookmarkStart w:id="23" w:name="after-meetings"/>
    <w:p>
      <w:pPr>
        <w:pStyle w:val="Heading3"/>
      </w:pPr>
      <w:r>
        <w:t xml:space="preserve">6.2 After Meetings</w:t>
      </w:r>
    </w:p>
    <w:p>
      <w:pPr>
        <w:pStyle w:val="Compact"/>
        <w:numPr>
          <w:ilvl w:val="0"/>
          <w:numId w:val="1019"/>
        </w:numPr>
      </w:pPr>
      <w:r>
        <w:t xml:space="preserve">Erase whiteboards with sensitive information</w:t>
      </w:r>
    </w:p>
    <w:p>
      <w:pPr>
        <w:pStyle w:val="Compact"/>
        <w:numPr>
          <w:ilvl w:val="0"/>
          <w:numId w:val="1020"/>
        </w:numPr>
      </w:pPr>
      <w:r>
        <w:t xml:space="preserve">Collect all physical documents</w:t>
      </w:r>
    </w:p>
    <w:p>
      <w:pPr>
        <w:pStyle w:val="Compact"/>
        <w:numPr>
          <w:ilvl w:val="0"/>
          <w:numId w:val="1021"/>
        </w:numPr>
      </w:pPr>
      <w:r>
        <w:t xml:space="preserve">Ensure no notes left behind</w:t>
      </w:r>
    </w:p>
    <w:p>
      <w:pPr>
        <w:pStyle w:val="Compact"/>
        <w:numPr>
          <w:ilvl w:val="0"/>
          <w:numId w:val="1022"/>
        </w:numPr>
      </w:pPr>
      <w:r>
        <w:t xml:space="preserve">Clear conference room screens (disconnect cables)</w:t>
      </w:r>
    </w:p>
    <w:bookmarkEnd w:id="23"/>
    <w:bookmarkEnd w:id="24"/>
    <w:bookmarkStart w:id="27" w:name="remote-work-considerations"/>
    <w:p>
      <w:pPr>
        <w:pStyle w:val="Heading2"/>
      </w:pPr>
      <w:r>
        <w:t xml:space="preserve">7. Remote Work Considerations</w:t>
      </w:r>
    </w:p>
    <w:bookmarkStart w:id="25" w:name="home-office"/>
    <w:p>
      <w:pPr>
        <w:pStyle w:val="Heading3"/>
      </w:pPr>
      <w:r>
        <w:t xml:space="preserve">7.1 Home Office</w:t>
      </w:r>
    </w:p>
    <w:p>
      <w:pPr>
        <w:pStyle w:val="Compact"/>
        <w:numPr>
          <w:ilvl w:val="0"/>
          <w:numId w:val="1023"/>
        </w:numPr>
      </w:pPr>
      <w:r>
        <w:t xml:space="preserve">Secure workspace when others may access (family, visitors)</w:t>
      </w:r>
    </w:p>
    <w:p>
      <w:pPr>
        <w:pStyle w:val="Compact"/>
        <w:numPr>
          <w:ilvl w:val="0"/>
          <w:numId w:val="1024"/>
        </w:numPr>
      </w:pPr>
      <w:r>
        <w:t xml:space="preserve">Store Confidential documents out of sight</w:t>
      </w:r>
    </w:p>
    <w:p>
      <w:pPr>
        <w:pStyle w:val="Compact"/>
        <w:numPr>
          <w:ilvl w:val="0"/>
          <w:numId w:val="1025"/>
        </w:numPr>
      </w:pPr>
      <w:r>
        <w:t xml:space="preserve">Position screen away from windows/cameras</w:t>
      </w:r>
    </w:p>
    <w:p>
      <w:pPr>
        <w:pStyle w:val="Compact"/>
        <w:numPr>
          <w:ilvl w:val="0"/>
          <w:numId w:val="1026"/>
        </w:numPr>
      </w:pPr>
      <w:r>
        <w:t xml:space="preserve">Use video call backgrounds to obscure workspace</w:t>
      </w:r>
    </w:p>
    <w:bookmarkEnd w:id="25"/>
    <w:bookmarkStart w:id="26" w:name="publicshared-spaces"/>
    <w:p>
      <w:pPr>
        <w:pStyle w:val="Heading3"/>
      </w:pPr>
      <w:r>
        <w:t xml:space="preserve">7.2 Public/Shared Spaces</w:t>
      </w:r>
    </w:p>
    <w:p>
      <w:pPr>
        <w:pStyle w:val="Compact"/>
        <w:numPr>
          <w:ilvl w:val="0"/>
          <w:numId w:val="1027"/>
        </w:numPr>
      </w:pPr>
      <w:r>
        <w:t xml:space="preserve">Avoid discussing sensitive matters where overheard</w:t>
      </w:r>
    </w:p>
    <w:p>
      <w:pPr>
        <w:pStyle w:val="Compact"/>
        <w:numPr>
          <w:ilvl w:val="0"/>
          <w:numId w:val="1028"/>
        </w:numPr>
      </w:pPr>
      <w:r>
        <w:t xml:space="preserve">Do not access Restricted data on public WiFi without VPN</w:t>
      </w:r>
    </w:p>
    <w:p>
      <w:pPr>
        <w:pStyle w:val="Compact"/>
        <w:numPr>
          <w:ilvl w:val="0"/>
          <w:numId w:val="1029"/>
        </w:numPr>
      </w:pPr>
      <w:r>
        <w:t xml:space="preserve">Be aware of visual eavesdropping</w:t>
      </w:r>
    </w:p>
    <w:bookmarkEnd w:id="26"/>
    <w:bookmarkEnd w:id="27"/>
    <w:bookmarkStart w:id="30" w:name="disposal"/>
    <w:p>
      <w:pPr>
        <w:pStyle w:val="Heading2"/>
      </w:pPr>
      <w:r>
        <w:t xml:space="preserve">8. Disposal</w:t>
      </w:r>
    </w:p>
    <w:bookmarkStart w:id="28" w:name="physical-documents"/>
    <w:p>
      <w:pPr>
        <w:pStyle w:val="Heading3"/>
      </w:pPr>
      <w:r>
        <w:t xml:space="preserve">8.1 Physical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Disposal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Standard recycling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Standard recycling (remove identifiers)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Cross-cut shredding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Cross-cut shredding, certificate of destruction</w:t>
            </w:r>
          </w:p>
        </w:tc>
      </w:tr>
    </w:tbl>
    <w:bookmarkEnd w:id="28"/>
    <w:bookmarkStart w:id="29" w:name="electronic-media"/>
    <w:p>
      <w:pPr>
        <w:pStyle w:val="Heading3"/>
      </w:pPr>
      <w:r>
        <w:t xml:space="preserve">8.2 Electronic Media</w:t>
      </w:r>
    </w:p>
    <w:p>
      <w:pPr>
        <w:pStyle w:val="Compact"/>
        <w:numPr>
          <w:ilvl w:val="0"/>
          <w:numId w:val="1030"/>
        </w:numPr>
      </w:pPr>
      <w:r>
        <w:t xml:space="preserve">Portable storage: Secure wipe or physical destruction</w:t>
      </w:r>
    </w:p>
    <w:p>
      <w:pPr>
        <w:pStyle w:val="Compact"/>
        <w:numPr>
          <w:ilvl w:val="0"/>
          <w:numId w:val="1030"/>
        </w:numPr>
      </w:pPr>
      <w:r>
        <w:t xml:space="preserve">Hard drives: NIST 800-88 compliant wiping</w:t>
      </w:r>
    </w:p>
    <w:p>
      <w:pPr>
        <w:pStyle w:val="Compact"/>
        <w:numPr>
          <w:ilvl w:val="0"/>
          <w:numId w:val="1030"/>
        </w:numPr>
      </w:pPr>
      <w:r>
        <w:t xml:space="preserve">Return all company media at termination</w:t>
      </w:r>
    </w:p>
    <w:bookmarkEnd w:id="29"/>
    <w:bookmarkEnd w:id="30"/>
    <w:bookmarkStart w:id="33" w:name="compliance"/>
    <w:p>
      <w:pPr>
        <w:pStyle w:val="Heading2"/>
      </w:pPr>
      <w:r>
        <w:t xml:space="preserve">9. Compliance</w:t>
      </w:r>
    </w:p>
    <w:bookmarkStart w:id="31" w:name="monitoring"/>
    <w:p>
      <w:pPr>
        <w:pStyle w:val="Heading3"/>
      </w:pPr>
      <w:r>
        <w:t xml:space="preserve">9.1 Monitoring</w:t>
      </w:r>
    </w:p>
    <w:p>
      <w:pPr>
        <w:pStyle w:val="Compact"/>
        <w:numPr>
          <w:ilvl w:val="0"/>
          <w:numId w:val="1031"/>
        </w:numPr>
      </w:pPr>
      <w:r>
        <w:t xml:space="preserve">Random spot checks may be conducted</w:t>
      </w:r>
    </w:p>
    <w:p>
      <w:pPr>
        <w:pStyle w:val="Compact"/>
        <w:numPr>
          <w:ilvl w:val="0"/>
          <w:numId w:val="1031"/>
        </w:numPr>
      </w:pPr>
      <w:r>
        <w:t xml:space="preserve">Self-assessments encouraged</w:t>
      </w:r>
    </w:p>
    <w:p>
      <w:pPr>
        <w:pStyle w:val="Compact"/>
        <w:numPr>
          <w:ilvl w:val="0"/>
          <w:numId w:val="1031"/>
        </w:numPr>
      </w:pPr>
      <w:r>
        <w:t xml:space="preserve">Report violations to InfoSec Team</w:t>
      </w:r>
    </w:p>
    <w:bookmarkEnd w:id="31"/>
    <w:bookmarkStart w:id="32" w:name="violations"/>
    <w:p>
      <w:pPr>
        <w:pStyle w:val="Heading3"/>
      </w:pPr>
      <w:r>
        <w:t xml:space="preserve">9.2 Violations</w:t>
      </w:r>
    </w:p>
    <w:p>
      <w:pPr>
        <w:pStyle w:val="FirstParagraph"/>
      </w:pPr>
      <w:r>
        <w:t xml:space="preserve">Non-compliance may result in:</w:t>
      </w:r>
      <w:r>
        <w:t xml:space="preserve"> </w:t>
      </w:r>
      <w:r>
        <w:t xml:space="preserve">- Verbal reminder (first instance)</w:t>
      </w:r>
      <w:r>
        <w:t xml:space="preserve"> </w:t>
      </w:r>
      <w:r>
        <w:t xml:space="preserve">- Written warning (repeat instances)</w:t>
      </w:r>
      <w:r>
        <w:t xml:space="preserve"> </w:t>
      </w:r>
      <w:r>
        <w:t xml:space="preserve">- Disciplinary action (persistent violations)</w:t>
      </w:r>
    </w:p>
    <w:bookmarkEnd w:id="32"/>
    <w:bookmarkEnd w:id="33"/>
    <w:bookmarkStart w:id="37" w:name="responsibilities"/>
    <w:p>
      <w:pPr>
        <w:pStyle w:val="Heading2"/>
      </w:pPr>
      <w:r>
        <w:t xml:space="preserve">10. Responsibilities</w:t>
      </w:r>
    </w:p>
    <w:bookmarkStart w:id="34" w:name="all-personnel"/>
    <w:p>
      <w:pPr>
        <w:pStyle w:val="Heading3"/>
      </w:pPr>
      <w:r>
        <w:t xml:space="preserve">10.1 All Personnel</w:t>
      </w:r>
    </w:p>
    <w:p>
      <w:pPr>
        <w:pStyle w:val="Compact"/>
        <w:numPr>
          <w:ilvl w:val="0"/>
          <w:numId w:val="1032"/>
        </w:numPr>
      </w:pPr>
      <w:r>
        <w:t xml:space="preserve">Follow clean desk and clear screen practices</w:t>
      </w:r>
    </w:p>
    <w:p>
      <w:pPr>
        <w:pStyle w:val="Compact"/>
        <w:numPr>
          <w:ilvl w:val="0"/>
          <w:numId w:val="1032"/>
        </w:numPr>
      </w:pPr>
      <w:r>
        <w:t xml:space="preserve">Report lost or exposed documents</w:t>
      </w:r>
    </w:p>
    <w:p>
      <w:pPr>
        <w:pStyle w:val="Compact"/>
        <w:numPr>
          <w:ilvl w:val="0"/>
          <w:numId w:val="1032"/>
        </w:numPr>
      </w:pPr>
      <w:r>
        <w:t xml:space="preserve">Participate in security awareness training</w:t>
      </w:r>
    </w:p>
    <w:bookmarkEnd w:id="34"/>
    <w:bookmarkStart w:id="35" w:name="managers"/>
    <w:p>
      <w:pPr>
        <w:pStyle w:val="Heading3"/>
      </w:pPr>
      <w:r>
        <w:t xml:space="preserve">10.2 Managers</w:t>
      </w:r>
    </w:p>
    <w:p>
      <w:pPr>
        <w:pStyle w:val="Compact"/>
        <w:numPr>
          <w:ilvl w:val="0"/>
          <w:numId w:val="1033"/>
        </w:numPr>
      </w:pPr>
      <w:r>
        <w:t xml:space="preserve">Ensure team compliance</w:t>
      </w:r>
    </w:p>
    <w:p>
      <w:pPr>
        <w:pStyle w:val="Compact"/>
        <w:numPr>
          <w:ilvl w:val="0"/>
          <w:numId w:val="1033"/>
        </w:numPr>
      </w:pPr>
      <w:r>
        <w:t xml:space="preserve">Lead by example</w:t>
      </w:r>
    </w:p>
    <w:p>
      <w:pPr>
        <w:pStyle w:val="Compact"/>
        <w:numPr>
          <w:ilvl w:val="0"/>
          <w:numId w:val="1033"/>
        </w:numPr>
      </w:pPr>
      <w:r>
        <w:t xml:space="preserve">Address violations promptly</w:t>
      </w:r>
    </w:p>
    <w:bookmarkEnd w:id="35"/>
    <w:bookmarkStart w:id="36" w:name="infosec-team"/>
    <w:p>
      <w:pPr>
        <w:pStyle w:val="Heading3"/>
      </w:pPr>
      <w:r>
        <w:t xml:space="preserve">10.3 InfoSec Team</w:t>
      </w:r>
    </w:p>
    <w:p>
      <w:pPr>
        <w:pStyle w:val="Compact"/>
        <w:numPr>
          <w:ilvl w:val="0"/>
          <w:numId w:val="1034"/>
        </w:numPr>
      </w:pPr>
      <w:r>
        <w:t xml:space="preserve">Monitor compliance</w:t>
      </w:r>
    </w:p>
    <w:p>
      <w:pPr>
        <w:pStyle w:val="Compact"/>
        <w:numPr>
          <w:ilvl w:val="0"/>
          <w:numId w:val="1034"/>
        </w:numPr>
      </w:pPr>
      <w:r>
        <w:t xml:space="preserve">Provide training materials</w:t>
      </w:r>
    </w:p>
    <w:p>
      <w:pPr>
        <w:pStyle w:val="Compact"/>
        <w:numPr>
          <w:ilvl w:val="0"/>
          <w:numId w:val="1034"/>
        </w:numPr>
      </w:pPr>
      <w:r>
        <w:t xml:space="preserve">Update policy as needed</w:t>
      </w:r>
    </w:p>
    <w:bookmarkEnd w:id="36"/>
    <w:bookmarkEnd w:id="37"/>
    <w:bookmarkStart w:id="38" w:name="related-policies"/>
    <w:p>
      <w:pPr>
        <w:pStyle w:val="Heading2"/>
      </w:pPr>
      <w:r>
        <w:t xml:space="preserve">11. Related Policies</w:t>
      </w:r>
    </w:p>
    <w:p>
      <w:pPr>
        <w:pStyle w:val="Compact"/>
        <w:numPr>
          <w:ilvl w:val="0"/>
          <w:numId w:val="1035"/>
        </w:numPr>
      </w:pPr>
      <w:r>
        <w:t xml:space="preserve">Data Classification and Handling Policy</w:t>
      </w:r>
    </w:p>
    <w:p>
      <w:pPr>
        <w:pStyle w:val="Compact"/>
        <w:numPr>
          <w:ilvl w:val="0"/>
          <w:numId w:val="1035"/>
        </w:numPr>
      </w:pPr>
      <w:r>
        <w:t xml:space="preserve">Acceptable Use Policy</w:t>
      </w:r>
    </w:p>
    <w:p>
      <w:pPr>
        <w:pStyle w:val="Compact"/>
        <w:numPr>
          <w:ilvl w:val="0"/>
          <w:numId w:val="1035"/>
        </w:numPr>
      </w:pPr>
      <w:r>
        <w:t xml:space="preserve">Information Security Policy</w:t>
      </w:r>
    </w:p>
    <w:p>
      <w:pPr>
        <w:pStyle w:val="Compact"/>
        <w:numPr>
          <w:ilvl w:val="0"/>
          <w:numId w:val="1035"/>
        </w:numPr>
      </w:pPr>
      <w:r>
        <w:t xml:space="preserve">Privacy Management Policy</w:t>
      </w:r>
    </w:p>
    <w:bookmarkEnd w:id="38"/>
    <w:bookmarkStart w:id="41" w:name="quick-reference"/>
    <w:p>
      <w:pPr>
        <w:pStyle w:val="Heading2"/>
      </w:pPr>
      <w:r>
        <w:t xml:space="preserve">12. Quick Reference</w:t>
      </w:r>
    </w:p>
    <w:bookmarkStart w:id="39" w:name="before-leaving-workspace"/>
    <w:p>
      <w:pPr>
        <w:pStyle w:val="Heading3"/>
      </w:pPr>
      <w:r>
        <w:t xml:space="preserve">Before Leaving Workspace</w:t>
      </w:r>
    </w:p>
    <w:p>
      <w:pPr>
        <w:pStyle w:val="Compact"/>
        <w:numPr>
          <w:ilvl w:val="0"/>
          <w:numId w:val="1036"/>
        </w:numPr>
      </w:pPr>
      <w:r>
        <w:t xml:space="preserve">Lock screen (Win+L or Ctrl+Cmd+Q)</w:t>
      </w:r>
    </w:p>
    <w:p>
      <w:pPr>
        <w:pStyle w:val="Compact"/>
        <w:numPr>
          <w:ilvl w:val="0"/>
          <w:numId w:val="1036"/>
        </w:numPr>
      </w:pPr>
      <w:r>
        <w:t xml:space="preserve">Clear sensitive documents</w:t>
      </w:r>
    </w:p>
    <w:p>
      <w:pPr>
        <w:pStyle w:val="Compact"/>
        <w:numPr>
          <w:ilvl w:val="0"/>
          <w:numId w:val="1036"/>
        </w:numPr>
      </w:pPr>
      <w:r>
        <w:t xml:space="preserve">Secure Confidential/Restricted items</w:t>
      </w:r>
    </w:p>
    <w:p>
      <w:pPr>
        <w:pStyle w:val="Compact"/>
        <w:numPr>
          <w:ilvl w:val="0"/>
          <w:numId w:val="1036"/>
        </w:numPr>
      </w:pPr>
      <w:r>
        <w:t xml:space="preserve">Retrieve any prints</w:t>
      </w:r>
    </w:p>
    <w:bookmarkEnd w:id="39"/>
    <w:bookmarkStart w:id="40" w:name="in-public"/>
    <w:p>
      <w:pPr>
        <w:pStyle w:val="Heading3"/>
      </w:pPr>
      <w:r>
        <w:t xml:space="preserve">In Public</w:t>
      </w:r>
    </w:p>
    <w:p>
      <w:pPr>
        <w:pStyle w:val="Compact"/>
        <w:numPr>
          <w:ilvl w:val="0"/>
          <w:numId w:val="1037"/>
        </w:numPr>
      </w:pPr>
      <w:r>
        <w:t xml:space="preserve">Use privacy screen</w:t>
      </w:r>
    </w:p>
    <w:p>
      <w:pPr>
        <w:pStyle w:val="Compact"/>
        <w:numPr>
          <w:ilvl w:val="0"/>
          <w:numId w:val="1037"/>
        </w:numPr>
      </w:pPr>
      <w:r>
        <w:t xml:space="preserve">Lock when stepping away</w:t>
      </w:r>
    </w:p>
    <w:p>
      <w:pPr>
        <w:pStyle w:val="Compact"/>
        <w:numPr>
          <w:ilvl w:val="0"/>
          <w:numId w:val="1037"/>
        </w:numPr>
      </w:pPr>
      <w:r>
        <w:t xml:space="preserve">Position screen away from others</w:t>
      </w:r>
    </w:p>
    <w:p>
      <w:pPr>
        <w:pStyle w:val="Compact"/>
        <w:numPr>
          <w:ilvl w:val="0"/>
          <w:numId w:val="1037"/>
        </w:numPr>
      </w:pPr>
      <w:r>
        <w:t xml:space="preserve">Avoid Confidential work if possible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Version 1.0 | December 2025 | Next Review: December 2026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2025-12-05T23:38:35Z</dcterms:created>
  <dcterms:modified xsi:type="dcterms:W3CDTF">2025-12-05T23:38:35Z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