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data-processing-agreement-dpa-template"/>
    <w:p>
      <w:pPr>
        <w:pStyle w:val="Heading1"/>
      </w:pPr>
      <w:r>
        <w:t xml:space="preserve">Data Processing Agreement (DPA) Template</w:t>
      </w:r>
    </w:p>
    <w:p>
      <w:pPr>
        <w:pStyle w:val="FirstParagraph"/>
      </w:pPr>
      <w:r>
        <w:rPr>
          <w:b/>
          <w:bCs/>
        </w:rPr>
        <w:t xml:space="preserve">Template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</w:p>
    <w:p>
      <w:r>
        <w:pict>
          <v:rect style="width:0;height:1.5pt" o:hralign="center" o:hrstd="t" o:hr="t"/>
        </w:pict>
      </w:r>
    </w:p>
    <w:bookmarkStart w:id="9" w:name="data-processing-agreement"/>
    <w:p>
      <w:pPr>
        <w:pStyle w:val="Heading2"/>
      </w:pPr>
      <w:r>
        <w:t xml:space="preserve">DATA PROCESSING AGREEMENT</w:t>
      </w:r>
    </w:p>
    <w:p>
      <w:pPr>
        <w:pStyle w:val="FirstParagraph"/>
      </w:pPr>
      <w:r>
        <w:rPr>
          <w:b/>
          <w:bCs/>
        </w:rPr>
        <w:t xml:space="preserve">Between:</w:t>
      </w:r>
    </w:p>
    <w:p>
      <w:pPr>
        <w:pStyle w:val="BodyText"/>
      </w:pPr>
      <w:r>
        <w:rPr>
          <w:b/>
          <w:bCs/>
        </w:rPr>
        <w:t xml:space="preserve">Data Controller:</w:t>
      </w:r>
      <w:r>
        <w:t xml:space="preserve"> </w:t>
      </w:r>
      <w:r>
        <w:t xml:space="preserve">EcoMetricx LLC (</w:t>
      </w:r>
      <w:r>
        <w:t xml:space="preserve">“Controller”</w:t>
      </w:r>
      <w:r>
        <w:t xml:space="preserve">)</w:t>
      </w:r>
      <w:r>
        <w:br/>
      </w:r>
      <w:r>
        <w:rPr>
          <w:b/>
          <w:bCs/>
        </w:rPr>
        <w:t xml:space="preserve">Data Processor:</w:t>
      </w:r>
      <w:r>
        <w:t xml:space="preserve"> </w:t>
      </w:r>
      <w:r>
        <w:t xml:space="preserve">[Vendor Name] (</w:t>
      </w:r>
      <w:r>
        <w:t xml:space="preserve">“Processor”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[Date]</w:t>
      </w:r>
    </w:p>
    <w:p>
      <w:r>
        <w:pict>
          <v:rect style="width:0;height:1.5pt" o:hralign="center" o:hrstd="t" o:hr="t"/>
        </w:pict>
      </w:r>
    </w:p>
    <w:bookmarkEnd w:id="9"/>
    <w:bookmarkStart w:id="10" w:name="definitions"/>
    <w:p>
      <w:pPr>
        <w:pStyle w:val="Heading2"/>
      </w:pPr>
      <w:r>
        <w:t xml:space="preserve">1. Definitions</w:t>
      </w:r>
    </w:p>
    <w:p>
      <w:pPr>
        <w:pStyle w:val="FirstParagraph"/>
      </w:pPr>
      <w:r>
        <w:rPr>
          <w:b/>
          <w:bCs/>
        </w:rPr>
        <w:t xml:space="preserve">“Personal Data”</w:t>
      </w:r>
      <w:r>
        <w:t xml:space="preserve"> </w:t>
      </w:r>
      <w:r>
        <w:t xml:space="preserve">means any information relating to an identified or identifiable natural person.</w:t>
      </w:r>
    </w:p>
    <w:p>
      <w:pPr>
        <w:pStyle w:val="BodyText"/>
      </w:pPr>
      <w:r>
        <w:rPr>
          <w:b/>
          <w:bCs/>
        </w:rPr>
        <w:t xml:space="preserve">“Processing”</w:t>
      </w:r>
      <w:r>
        <w:t xml:space="preserve"> </w:t>
      </w:r>
      <w:r>
        <w:t xml:space="preserve">means any operation performed on Personal Data (collection, storage, use, disclosure, deletion).</w:t>
      </w:r>
    </w:p>
    <w:p>
      <w:pPr>
        <w:pStyle w:val="BodyText"/>
      </w:pPr>
      <w:r>
        <w:rPr>
          <w:b/>
          <w:bCs/>
        </w:rPr>
        <w:t xml:space="preserve">“Data Subject”</w:t>
      </w:r>
      <w:r>
        <w:t xml:space="preserve"> </w:t>
      </w:r>
      <w:r>
        <w:t xml:space="preserve">means the individual whose Personal Data is processed.</w:t>
      </w:r>
    </w:p>
    <w:p>
      <w:pPr>
        <w:pStyle w:val="BodyText"/>
      </w:pPr>
      <w:r>
        <w:rPr>
          <w:b/>
          <w:bCs/>
        </w:rPr>
        <w:t xml:space="preserve">“Sub-processor”</w:t>
      </w:r>
      <w:r>
        <w:t xml:space="preserve"> </w:t>
      </w:r>
      <w:r>
        <w:t xml:space="preserve">means any third party engaged by Processor to process Personal Data.</w:t>
      </w:r>
    </w:p>
    <w:bookmarkEnd w:id="10"/>
    <w:bookmarkStart w:id="15" w:name="scope-and-purpose"/>
    <w:p>
      <w:pPr>
        <w:pStyle w:val="Heading2"/>
      </w:pPr>
      <w:r>
        <w:t xml:space="preserve">2. Scope and Purpose</w:t>
      </w:r>
    </w:p>
    <w:bookmarkStart w:id="11" w:name="processing-purpose"/>
    <w:p>
      <w:pPr>
        <w:pStyle w:val="Heading3"/>
      </w:pPr>
      <w:r>
        <w:t xml:space="preserve">2.1 Processing Purpose</w:t>
      </w:r>
    </w:p>
    <w:p>
      <w:pPr>
        <w:pStyle w:val="FirstParagraph"/>
      </w:pPr>
      <w:r>
        <w:t xml:space="preserve">Processor shall process Personal Data solely for: [Describe specific services]</w:t>
      </w:r>
    </w:p>
    <w:bookmarkEnd w:id="11"/>
    <w:bookmarkStart w:id="12" w:name="types-of-personal-data"/>
    <w:p>
      <w:pPr>
        <w:pStyle w:val="Heading3"/>
      </w:pPr>
      <w:r>
        <w:t xml:space="preserve">2.2 Types of Personal Data</w:t>
      </w:r>
    </w:p>
    <w:p>
      <w:pPr>
        <w:pStyle w:val="FirstParagraph"/>
      </w:pPr>
      <w:r>
        <w:t xml:space="preserve">Per EcoMetricx Data Classification Policy:</w:t>
      </w:r>
      <w:r>
        <w:t xml:space="preserve"> </w:t>
      </w:r>
      <w:r>
        <w:t xml:space="preserve">- [ ] Contact Information (name, email, phone)</w:t>
      </w:r>
      <w:r>
        <w:t xml:space="preserve"> </w:t>
      </w:r>
      <w:r>
        <w:t xml:space="preserve">- [ ] Account Information (usernames, preferences)</w:t>
      </w:r>
      <w:r>
        <w:t xml:space="preserve"> </w:t>
      </w:r>
      <w:r>
        <w:t xml:space="preserve">- [ ] Business Data (company information, usage data)</w:t>
      </w:r>
      <w:r>
        <w:t xml:space="preserve"> </w:t>
      </w:r>
      <w:r>
        <w:t xml:space="preserve">- [ ] Financial Data (billing information)</w:t>
      </w:r>
      <w:r>
        <w:t xml:space="preserve"> </w:t>
      </w:r>
      <w:r>
        <w:t xml:space="preserve">- [ ] Other: ______________________</w:t>
      </w:r>
    </w:p>
    <w:bookmarkEnd w:id="12"/>
    <w:bookmarkStart w:id="13" w:name="categories-of-data-subjects"/>
    <w:p>
      <w:pPr>
        <w:pStyle w:val="Heading3"/>
      </w:pPr>
      <w:r>
        <w:t xml:space="preserve">2.3 Categories of Data Subjects</w:t>
      </w:r>
    </w:p>
    <w:p>
      <w:pPr>
        <w:pStyle w:val="Compact"/>
        <w:numPr>
          <w:ilvl w:val="0"/>
          <w:numId w:val="1001"/>
        </w:numPr>
      </w:pPr>
      <w:r>
        <w:t xml:space="preserve">Customers</w:t>
      </w:r>
    </w:p>
    <w:p>
      <w:pPr>
        <w:pStyle w:val="Compact"/>
        <w:numPr>
          <w:ilvl w:val="0"/>
          <w:numId w:val="1002"/>
        </w:numPr>
      </w:pPr>
      <w:r>
        <w:t xml:space="preserve">Employees</w:t>
      </w:r>
    </w:p>
    <w:p>
      <w:pPr>
        <w:pStyle w:val="Compact"/>
        <w:numPr>
          <w:ilvl w:val="0"/>
          <w:numId w:val="1003"/>
        </w:numPr>
      </w:pPr>
      <w:r>
        <w:t xml:space="preserve">End users</w:t>
      </w:r>
    </w:p>
    <w:p>
      <w:pPr>
        <w:pStyle w:val="Compact"/>
        <w:numPr>
          <w:ilvl w:val="0"/>
          <w:numId w:val="1004"/>
        </w:numPr>
      </w:pPr>
      <w:r>
        <w:t xml:space="preserve">Other: ______________________</w:t>
      </w:r>
    </w:p>
    <w:bookmarkEnd w:id="13"/>
    <w:bookmarkStart w:id="14" w:name="processing-duration"/>
    <w:p>
      <w:pPr>
        <w:pStyle w:val="Heading3"/>
      </w:pPr>
      <w:r>
        <w:t xml:space="preserve">2.4 Processing Duration</w:t>
      </w:r>
    </w:p>
    <w:p>
      <w:pPr>
        <w:pStyle w:val="FirstParagraph"/>
      </w:pPr>
      <w:r>
        <w:t xml:space="preserve">Processing shall continue for: [Duration] or until termination of the Agreement.</w:t>
      </w:r>
    </w:p>
    <w:bookmarkEnd w:id="14"/>
    <w:bookmarkEnd w:id="15"/>
    <w:bookmarkStart w:id="23" w:name="processor-obligations"/>
    <w:p>
      <w:pPr>
        <w:pStyle w:val="Heading2"/>
      </w:pPr>
      <w:r>
        <w:t xml:space="preserve">3. Processor Obligations</w:t>
      </w:r>
    </w:p>
    <w:bookmarkStart w:id="16" w:name="processing-instructions"/>
    <w:p>
      <w:pPr>
        <w:pStyle w:val="Heading3"/>
      </w:pPr>
      <w:r>
        <w:t xml:space="preserve">3.1 Processing Instructions</w:t>
      </w:r>
    </w:p>
    <w:p>
      <w:pPr>
        <w:pStyle w:val="FirstParagraph"/>
      </w:pPr>
      <w:r>
        <w:t xml:space="preserve">Processor shall:</w:t>
      </w:r>
      <w:r>
        <w:t xml:space="preserve"> </w:t>
      </w:r>
      <w:r>
        <w:t xml:space="preserve">- Process Personal Data only on documented instructions from Controller</w:t>
      </w:r>
      <w:r>
        <w:t xml:space="preserve"> </w:t>
      </w:r>
      <w:r>
        <w:t xml:space="preserve">- Inform Controller if instructions infringe applicable data protection law</w:t>
      </w:r>
      <w:r>
        <w:t xml:space="preserve"> </w:t>
      </w:r>
      <w:r>
        <w:t xml:space="preserve">- Not process data for any other purpose without prior written consent</w:t>
      </w:r>
    </w:p>
    <w:bookmarkEnd w:id="16"/>
    <w:bookmarkStart w:id="17" w:name="confidentiality"/>
    <w:p>
      <w:pPr>
        <w:pStyle w:val="Heading3"/>
      </w:pPr>
      <w:r>
        <w:t xml:space="preserve">3.2 Confidentiality</w:t>
      </w:r>
    </w:p>
    <w:p>
      <w:pPr>
        <w:pStyle w:val="FirstParagraph"/>
      </w:pPr>
      <w:r>
        <w:t xml:space="preserve">Processor shall:</w:t>
      </w:r>
      <w:r>
        <w:t xml:space="preserve"> </w:t>
      </w:r>
      <w:r>
        <w:t xml:space="preserve">- Ensure personnel are bound by confidentiality obligations</w:t>
      </w:r>
      <w:r>
        <w:t xml:space="preserve"> </w:t>
      </w:r>
      <w:r>
        <w:t xml:space="preserve">- Limit access to authorized personnel only</w:t>
      </w:r>
      <w:r>
        <w:t xml:space="preserve"> </w:t>
      </w:r>
      <w:r>
        <w:t xml:space="preserve">- Apply need-to-know access principles</w:t>
      </w:r>
    </w:p>
    <w:bookmarkEnd w:id="17"/>
    <w:bookmarkStart w:id="18" w:name="security-measures"/>
    <w:p>
      <w:pPr>
        <w:pStyle w:val="Heading3"/>
      </w:pPr>
      <w:r>
        <w:t xml:space="preserve">3.3 Security Measures</w:t>
      </w:r>
    </w:p>
    <w:p>
      <w:pPr>
        <w:pStyle w:val="FirstParagraph"/>
      </w:pPr>
      <w:r>
        <w:t xml:space="preserve">Processor shall implement appropriate technical and organizational measures including:</w:t>
      </w:r>
    </w:p>
    <w:p>
      <w:pPr>
        <w:pStyle w:val="BodyText"/>
      </w:pPr>
      <w:r>
        <w:rPr>
          <w:b/>
          <w:bCs/>
        </w:rPr>
        <w:t xml:space="preserve">Per EcoMetricx Encryption Standards:</w:t>
      </w:r>
      <w:r>
        <w:t xml:space="preserve"> </w:t>
      </w:r>
      <w:r>
        <w:t xml:space="preserve">- Encryption at rest (AES-256 minimum)</w:t>
      </w:r>
      <w:r>
        <w:t xml:space="preserve"> </w:t>
      </w:r>
      <w:r>
        <w:t xml:space="preserve">- Encryption in transit (TLS 1.2+)</w:t>
      </w:r>
      <w:r>
        <w:t xml:space="preserve"> </w:t>
      </w:r>
      <w:r>
        <w:t xml:space="preserve">- Multi-factor authentication for access</w:t>
      </w:r>
      <w:r>
        <w:t xml:space="preserve"> </w:t>
      </w:r>
      <w:r>
        <w:t xml:space="preserve">- Regular security assessments</w:t>
      </w:r>
    </w:p>
    <w:p>
      <w:pPr>
        <w:pStyle w:val="BodyText"/>
      </w:pPr>
      <w:r>
        <w:rPr>
          <w:b/>
          <w:bCs/>
        </w:rPr>
        <w:t xml:space="preserve">Per EcoMetricx Access Control Policy:</w:t>
      </w:r>
      <w:r>
        <w:t xml:space="preserve"> </w:t>
      </w:r>
      <w:r>
        <w:t xml:space="preserve">- Role-based access control</w:t>
      </w:r>
      <w:r>
        <w:t xml:space="preserve"> </w:t>
      </w:r>
      <w:r>
        <w:t xml:space="preserve">- Least privilege access</w:t>
      </w:r>
      <w:r>
        <w:t xml:space="preserve"> </w:t>
      </w:r>
      <w:r>
        <w:t xml:space="preserve">- Regular access reviews</w:t>
      </w:r>
      <w:r>
        <w:t xml:space="preserve"> </w:t>
      </w:r>
      <w:r>
        <w:t xml:space="preserve">- Audit logging</w:t>
      </w:r>
    </w:p>
    <w:bookmarkEnd w:id="18"/>
    <w:bookmarkStart w:id="19" w:name="sub-processing"/>
    <w:p>
      <w:pPr>
        <w:pStyle w:val="Heading3"/>
      </w:pPr>
      <w:r>
        <w:t xml:space="preserve">3.4 Sub-processing</w:t>
      </w:r>
    </w:p>
    <w:p>
      <w:pPr>
        <w:pStyle w:val="FirstParagraph"/>
      </w:pPr>
      <w:r>
        <w:t xml:space="preserve">Processor shall:</w:t>
      </w:r>
      <w:r>
        <w:t xml:space="preserve"> </w:t>
      </w:r>
      <w:r>
        <w:t xml:space="preserve">- Not engage Sub-processors without prior written authorization</w:t>
      </w:r>
      <w:r>
        <w:t xml:space="preserve"> </w:t>
      </w:r>
      <w:r>
        <w:t xml:space="preserve">- Ensure Sub-processors are bound by equivalent obligations</w:t>
      </w:r>
      <w:r>
        <w:t xml:space="preserve"> </w:t>
      </w:r>
      <w:r>
        <w:t xml:space="preserve">- Remain liable for Sub-processor acts</w:t>
      </w:r>
      <w:r>
        <w:t xml:space="preserve"> </w:t>
      </w:r>
      <w:r>
        <w:t xml:space="preserve">- Maintain list of Sub-processors and notify of changes</w:t>
      </w:r>
    </w:p>
    <w:p>
      <w:pPr>
        <w:pStyle w:val="BodyText"/>
      </w:pPr>
      <w:r>
        <w:rPr>
          <w:b/>
          <w:bCs/>
        </w:rPr>
        <w:t xml:space="preserve">Approved Sub-processors:</w:t>
      </w:r>
      <w:r>
        <w:t xml:space="preserve"> </w:t>
      </w:r>
      <w:r>
        <w:t xml:space="preserve">1. [Sub-processor name] - [Purpose]</w:t>
      </w:r>
      <w:r>
        <w:t xml:space="preserve"> </w:t>
      </w:r>
      <w:r>
        <w:t xml:space="preserve">2. [Sub-processor name] - [Purpose]</w:t>
      </w:r>
    </w:p>
    <w:bookmarkEnd w:id="19"/>
    <w:bookmarkStart w:id="20" w:name="data-subject-rights"/>
    <w:p>
      <w:pPr>
        <w:pStyle w:val="Heading3"/>
      </w:pPr>
      <w:r>
        <w:t xml:space="preserve">3.5 Data Subject Rights</w:t>
      </w:r>
    </w:p>
    <w:p>
      <w:pPr>
        <w:pStyle w:val="FirstParagraph"/>
      </w:pPr>
      <w:r>
        <w:t xml:space="preserve">Processor shall assist Controller with:</w:t>
      </w:r>
      <w:r>
        <w:t xml:space="preserve"> </w:t>
      </w:r>
      <w:r>
        <w:t xml:space="preserve">- Access requests (respond within 30 days)</w:t>
      </w:r>
      <w:r>
        <w:t xml:space="preserve"> </w:t>
      </w:r>
      <w:r>
        <w:t xml:space="preserve">- Rectification requests</w:t>
      </w:r>
      <w:r>
        <w:t xml:space="preserve"> </w:t>
      </w:r>
      <w:r>
        <w:t xml:space="preserve">- Erasure requests (</w:t>
      </w:r>
      <w:r>
        <w:t xml:space="preserve">“right to be forgotten”</w:t>
      </w:r>
      <w:r>
        <w:t xml:space="preserve">)</w:t>
      </w:r>
      <w:r>
        <w:t xml:space="preserve"> </w:t>
      </w:r>
      <w:r>
        <w:t xml:space="preserve">- Data portability requests</w:t>
      </w:r>
      <w:r>
        <w:t xml:space="preserve"> </w:t>
      </w:r>
      <w:r>
        <w:t xml:space="preserve">- Objection to processing</w:t>
      </w:r>
    </w:p>
    <w:bookmarkEnd w:id="20"/>
    <w:bookmarkStart w:id="21" w:name="data-breach-notification"/>
    <w:p>
      <w:pPr>
        <w:pStyle w:val="Heading3"/>
      </w:pPr>
      <w:r>
        <w:t xml:space="preserve">3.6 Data Breach Notification</w:t>
      </w:r>
    </w:p>
    <w:p>
      <w:pPr>
        <w:pStyle w:val="FirstParagraph"/>
      </w:pPr>
      <w:r>
        <w:t xml:space="preserve">Processor shall:</w:t>
      </w:r>
      <w:r>
        <w:t xml:space="preserve"> </w:t>
      </w:r>
      <w:r>
        <w:t xml:space="preserve">- Notify Controller within</w:t>
      </w:r>
      <w:r>
        <w:t xml:space="preserve"> </w:t>
      </w:r>
      <w:r>
        <w:rPr>
          <w:b/>
          <w:bCs/>
        </w:rPr>
        <w:t xml:space="preserve">24 hours</w:t>
      </w:r>
      <w:r>
        <w:t xml:space="preserve"> </w:t>
      </w:r>
      <w:r>
        <w:t xml:space="preserve">of becoming aware of a data breach</w:t>
      </w:r>
      <w:r>
        <w:t xml:space="preserve"> </w:t>
      </w:r>
      <w:r>
        <w:t xml:space="preserve">- Provide sufficient information to meet regulatory notification requirements</w:t>
      </w:r>
      <w:r>
        <w:t xml:space="preserve"> </w:t>
      </w:r>
      <w:r>
        <w:t xml:space="preserve">- Cooperate with breach investigation and remediation</w:t>
      </w:r>
      <w:r>
        <w:t xml:space="preserve"> </w:t>
      </w:r>
      <w:r>
        <w:t xml:space="preserve">- Document all breaches and actions taken</w:t>
      </w:r>
    </w:p>
    <w:bookmarkEnd w:id="21"/>
    <w:bookmarkStart w:id="22" w:name="audit-rights"/>
    <w:p>
      <w:pPr>
        <w:pStyle w:val="Heading3"/>
      </w:pPr>
      <w:r>
        <w:t xml:space="preserve">3.7 Audit Rights</w:t>
      </w:r>
    </w:p>
    <w:p>
      <w:pPr>
        <w:pStyle w:val="FirstParagraph"/>
      </w:pPr>
      <w:r>
        <w:t xml:space="preserve">Controller may:</w:t>
      </w:r>
      <w:r>
        <w:t xml:space="preserve"> </w:t>
      </w:r>
      <w:r>
        <w:t xml:space="preserve">- Request evidence of compliance (certifications, audit reports)</w:t>
      </w:r>
      <w:r>
        <w:t xml:space="preserve"> </w:t>
      </w:r>
      <w:r>
        <w:t xml:space="preserve">- Conduct audits with reasonable notice (30 days minimum)</w:t>
      </w:r>
      <w:r>
        <w:t xml:space="preserve"> </w:t>
      </w:r>
      <w:r>
        <w:t xml:space="preserve">- Require remediation of findings within agreed timeframes</w:t>
      </w:r>
    </w:p>
    <w:bookmarkEnd w:id="22"/>
    <w:bookmarkEnd w:id="23"/>
    <w:bookmarkStart w:id="24" w:name="controller-obligations"/>
    <w:p>
      <w:pPr>
        <w:pStyle w:val="Heading2"/>
      </w:pPr>
      <w:r>
        <w:t xml:space="preserve">4. Controller Obligations</w:t>
      </w:r>
    </w:p>
    <w:p>
      <w:pPr>
        <w:pStyle w:val="FirstParagraph"/>
      </w:pPr>
      <w:r>
        <w:t xml:space="preserve">Controller shall:</w:t>
      </w:r>
      <w:r>
        <w:t xml:space="preserve"> </w:t>
      </w:r>
      <w:r>
        <w:t xml:space="preserve">- Provide documented processing instructions</w:t>
      </w:r>
      <w:r>
        <w:t xml:space="preserve"> </w:t>
      </w:r>
      <w:r>
        <w:t xml:space="preserve">- Ensure lawful basis for processing</w:t>
      </w:r>
      <w:r>
        <w:t xml:space="preserve"> </w:t>
      </w:r>
      <w:r>
        <w:t xml:space="preserve">- Respond to data subject requests</w:t>
      </w:r>
      <w:r>
        <w:t xml:space="preserve"> </w:t>
      </w:r>
      <w:r>
        <w:t xml:space="preserve">- Notify Processor of any changes affecting processing</w:t>
      </w:r>
    </w:p>
    <w:bookmarkEnd w:id="24"/>
    <w:bookmarkStart w:id="27" w:name="international-transfers"/>
    <w:p>
      <w:pPr>
        <w:pStyle w:val="Heading2"/>
      </w:pPr>
      <w:r>
        <w:t xml:space="preserve">5. International Transfers</w:t>
      </w:r>
    </w:p>
    <w:bookmarkStart w:id="25" w:name="transfer-mechanisms"/>
    <w:p>
      <w:pPr>
        <w:pStyle w:val="Heading3"/>
      </w:pPr>
      <w:r>
        <w:t xml:space="preserve">5.1 Transfer Mechanisms</w:t>
      </w:r>
    </w:p>
    <w:p>
      <w:pPr>
        <w:pStyle w:val="FirstParagraph"/>
      </w:pPr>
      <w:r>
        <w:t xml:space="preserve">For transfers outside [country/region], parties agree to use:</w:t>
      </w:r>
      <w:r>
        <w:t xml:space="preserve"> </w:t>
      </w:r>
      <w:r>
        <w:t xml:space="preserve">- [ ] Standard Contractual Clauses</w:t>
      </w:r>
      <w:r>
        <w:t xml:space="preserve"> </w:t>
      </w:r>
      <w:r>
        <w:t xml:space="preserve">- [ ] Binding Corporate Rules</w:t>
      </w:r>
      <w:r>
        <w:t xml:space="preserve"> </w:t>
      </w:r>
      <w:r>
        <w:t xml:space="preserve">- [ ] Adequacy Decision</w:t>
      </w:r>
      <w:r>
        <w:t xml:space="preserve"> </w:t>
      </w:r>
      <w:r>
        <w:t xml:space="preserve">- [ ] Other: ______________________</w:t>
      </w:r>
    </w:p>
    <w:bookmarkEnd w:id="25"/>
    <w:bookmarkStart w:id="26" w:name="data-residency"/>
    <w:p>
      <w:pPr>
        <w:pStyle w:val="Heading3"/>
      </w:pPr>
      <w:r>
        <w:t xml:space="preserve">5.2 Data Residency</w:t>
      </w:r>
    </w:p>
    <w:p>
      <w:pPr>
        <w:pStyle w:val="FirstParagraph"/>
      </w:pPr>
      <w:r>
        <w:t xml:space="preserve">Personal Data shall be stored in: [Specify locations/regions]</w:t>
      </w:r>
    </w:p>
    <w:bookmarkEnd w:id="26"/>
    <w:bookmarkEnd w:id="27"/>
    <w:bookmarkStart w:id="28" w:name="return-and-deletion"/>
    <w:p>
      <w:pPr>
        <w:pStyle w:val="Heading2"/>
      </w:pPr>
      <w:r>
        <w:t xml:space="preserve">6. Return and Deletion</w:t>
      </w:r>
    </w:p>
    <w:p>
      <w:pPr>
        <w:pStyle w:val="FirstParagraph"/>
      </w:pPr>
      <w:r>
        <w:t xml:space="preserve">Upon termination:</w:t>
      </w:r>
      <w:r>
        <w:t xml:space="preserve"> </w:t>
      </w:r>
      <w:r>
        <w:t xml:space="preserve">- Processor shall return all Personal Data within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- Processor shall delete all copies within</w:t>
      </w:r>
      <w:r>
        <w:t xml:space="preserve"> </w:t>
      </w:r>
      <w:r>
        <w:rPr>
          <w:b/>
          <w:bCs/>
        </w:rPr>
        <w:t xml:space="preserve">60 days</w:t>
      </w:r>
      <w:r>
        <w:t xml:space="preserve"> </w:t>
      </w:r>
      <w:r>
        <w:t xml:space="preserve">- Processor shall provide certificate of deletion</w:t>
      </w:r>
      <w:r>
        <w:t xml:space="preserve"> </w:t>
      </w:r>
      <w:r>
        <w:t xml:space="preserve">- Retention only as required by law (documented)</w:t>
      </w:r>
    </w:p>
    <w:bookmarkEnd w:id="28"/>
    <w:bookmarkStart w:id="29" w:name="liability-and-indemnification"/>
    <w:p>
      <w:pPr>
        <w:pStyle w:val="Heading2"/>
      </w:pPr>
      <w:r>
        <w:t xml:space="preserve">7. Liability and Indemnification</w:t>
      </w:r>
    </w:p>
    <w:p>
      <w:pPr>
        <w:pStyle w:val="FirstParagraph"/>
      </w:pPr>
      <w:r>
        <w:t xml:space="preserve">[Insert standard liability and indemnification clauses per legal review]</w:t>
      </w:r>
    </w:p>
    <w:bookmarkEnd w:id="29"/>
    <w:bookmarkStart w:id="30" w:name="term-and-termination"/>
    <w:p>
      <w:pPr>
        <w:pStyle w:val="Heading2"/>
      </w:pPr>
      <w:r>
        <w:t xml:space="preserve">8. Term and Termination</w:t>
      </w:r>
    </w:p>
    <w:p>
      <w:pPr>
        <w:pStyle w:val="FirstParagraph"/>
      </w:pPr>
      <w:r>
        <w:t xml:space="preserve">This DPA:</w:t>
      </w:r>
      <w:r>
        <w:t xml:space="preserve"> </w:t>
      </w:r>
      <w:r>
        <w:t xml:space="preserve">- Commences on the Effective Date</w:t>
      </w:r>
      <w:r>
        <w:t xml:space="preserve"> </w:t>
      </w:r>
      <w:r>
        <w:t xml:space="preserve">- Remains in effect for the duration of the underlying Agreement</w:t>
      </w:r>
      <w:r>
        <w:t xml:space="preserve"> </w:t>
      </w:r>
      <w:r>
        <w:t xml:space="preserve">- Survives termination for data return/deletion obligations</w:t>
      </w:r>
    </w:p>
    <w:bookmarkEnd w:id="30"/>
    <w:bookmarkStart w:id="31" w:name="compliance-certifications"/>
    <w:p>
      <w:pPr>
        <w:pStyle w:val="Heading2"/>
      </w:pPr>
      <w:r>
        <w:t xml:space="preserve">9. Compliance Certifications</w:t>
      </w:r>
    </w:p>
    <w:p>
      <w:pPr>
        <w:pStyle w:val="FirstParagraph"/>
      </w:pPr>
      <w:r>
        <w:t xml:space="preserve">Processor maintains the following certifications:</w:t>
      </w:r>
      <w:r>
        <w:t xml:space="preserve"> </w:t>
      </w:r>
      <w:r>
        <w:t xml:space="preserve">- [ ] SOC 2 Type II</w:t>
      </w:r>
      <w:r>
        <w:t xml:space="preserve"> </w:t>
      </w:r>
      <w:r>
        <w:t xml:space="preserve">- [ ] ISO 27001</w:t>
      </w:r>
      <w:r>
        <w:t xml:space="preserve"> </w:t>
      </w:r>
      <w:r>
        <w:t xml:space="preserve">- [ ] HIPAA (if applicable)</w:t>
      </w:r>
      <w:r>
        <w:t xml:space="preserve"> </w:t>
      </w:r>
      <w:r>
        <w:t xml:space="preserve">- [ ] PCI-DSS (if applicable)</w:t>
      </w:r>
      <w:r>
        <w:t xml:space="preserve"> </w:t>
      </w:r>
      <w:r>
        <w:t xml:space="preserve">- [ ] Other: ______________________</w:t>
      </w:r>
    </w:p>
    <w:bookmarkEnd w:id="31"/>
    <w:bookmarkStart w:id="32" w:name="governing-law"/>
    <w:p>
      <w:pPr>
        <w:pStyle w:val="Heading2"/>
      </w:pPr>
      <w:r>
        <w:t xml:space="preserve">10. Governing Law</w:t>
      </w:r>
    </w:p>
    <w:p>
      <w:pPr>
        <w:pStyle w:val="FirstParagraph"/>
      </w:pPr>
      <w:r>
        <w:t xml:space="preserve">This DPA is governed by: [Jurisdiction]</w:t>
      </w:r>
    </w:p>
    <w:p>
      <w:r>
        <w:pict>
          <v:rect style="width:0;height:1.5pt" o:hralign="center" o:hrstd="t" o:hr="t"/>
        </w:pict>
      </w:r>
    </w:p>
    <w:bookmarkEnd w:id="32"/>
    <w:bookmarkStart w:id="33" w:name="signatures"/>
    <w:p>
      <w:pPr>
        <w:pStyle w:val="Heading2"/>
      </w:pPr>
      <w:r>
        <w:t xml:space="preserve">Signatures</w:t>
      </w:r>
    </w:p>
    <w:p>
      <w:pPr>
        <w:pStyle w:val="FirstParagraph"/>
      </w:pPr>
      <w:r>
        <w:rPr>
          <w:b/>
          <w:bCs/>
        </w:rPr>
        <w:t xml:space="preserve">EcoMetricx LLC (Controller)</w:t>
      </w:r>
    </w:p>
    <w:p>
      <w:pPr>
        <w:pStyle w:val="BodyText"/>
      </w:pPr>
      <w:r>
        <w:t xml:space="preserve">Name: ______________________</w:t>
      </w:r>
      <w:r>
        <w:br/>
      </w:r>
      <w:r>
        <w:t xml:space="preserve">Title: ______________________</w:t>
      </w:r>
      <w:r>
        <w:br/>
      </w:r>
      <w:r>
        <w:t xml:space="preserve">Date: ______________________</w:t>
      </w:r>
      <w:r>
        <w:br/>
      </w:r>
      <w:r>
        <w:t xml:space="preserve">Signature: ______________________</w:t>
      </w:r>
    </w:p>
    <w:p>
      <w:pPr>
        <w:pStyle w:val="BodyText"/>
      </w:pPr>
      <w:r>
        <w:rPr>
          <w:b/>
          <w:bCs/>
        </w:rPr>
        <w:t xml:space="preserve">[Vendor Name] (Processor)</w:t>
      </w:r>
    </w:p>
    <w:p>
      <w:pPr>
        <w:pStyle w:val="BodyText"/>
      </w:pPr>
      <w:r>
        <w:t xml:space="preserve">Name: ______________________</w:t>
      </w:r>
      <w:r>
        <w:br/>
      </w:r>
      <w:r>
        <w:t xml:space="preserve">Title: ______________________</w:t>
      </w:r>
      <w:r>
        <w:br/>
      </w:r>
      <w:r>
        <w:t xml:space="preserve">Date: ______________________</w:t>
      </w:r>
      <w:r>
        <w:br/>
      </w:r>
      <w:r>
        <w:t xml:space="preserve">Signature: ______________________</w:t>
      </w:r>
    </w:p>
    <w:p>
      <w:r>
        <w:pict>
          <v:rect style="width:0;height:1.5pt" o:hralign="center" o:hrstd="t" o:hr="t"/>
        </w:pict>
      </w:r>
    </w:p>
    <w:bookmarkEnd w:id="33"/>
    <w:bookmarkStart w:id="34" w:name="Xaf76b75017afd3fadba9dde06d9e273d8c7e75a"/>
    <w:p>
      <w:pPr>
        <w:pStyle w:val="Heading2"/>
      </w:pPr>
      <w:r>
        <w:t xml:space="preserve">Annex A: Technical and Organizational Measures</w:t>
      </w:r>
    </w:p>
    <w:p>
      <w:pPr>
        <w:pStyle w:val="FirstParagraph"/>
      </w:pPr>
      <w:r>
        <w:t xml:space="preserve">[Processor to complete with specific security measures]</w:t>
      </w:r>
    </w:p>
    <w:bookmarkEnd w:id="34"/>
    <w:bookmarkStart w:id="35" w:name="annex-b-sub-processor-list"/>
    <w:p>
      <w:pPr>
        <w:pStyle w:val="Heading2"/>
      </w:pPr>
      <w:r>
        <w:t xml:space="preserve">Annex B: Sub-processor List</w:t>
      </w:r>
    </w:p>
    <w:p>
      <w:pPr>
        <w:pStyle w:val="FirstParagraph"/>
      </w:pPr>
      <w:r>
        <w:t xml:space="preserve">[Processor to complete with current sub-processors]</w:t>
      </w:r>
    </w:p>
    <w:bookmarkEnd w:id="35"/>
    <w:bookmarkStart w:id="36" w:name="annex-c-data-processing-details"/>
    <w:p>
      <w:pPr>
        <w:pStyle w:val="Heading2"/>
      </w:pPr>
      <w:r>
        <w:t xml:space="preserve">Annex C: Data Processing Details</w:t>
      </w:r>
    </w:p>
    <w:p>
      <w:pPr>
        <w:pStyle w:val="FirstParagraph"/>
      </w:pPr>
      <w:r>
        <w:t xml:space="preserve">[Complete processing description, data types, retention periods]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Template Version 1.0 | December 2025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2025-12-05T23:38:35Z</dcterms:created>
  <dcterms:modified xsi:type="dcterms:W3CDTF">2025-12-05T23:38:35Z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