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ecometricx-privacy-policy"/>
    <w:p>
      <w:pPr>
        <w:pStyle w:val="Heading1"/>
      </w:pPr>
      <w:r>
        <w:t xml:space="preserve">EcoMetricx Privacy Policy</w:t>
      </w:r>
    </w:p>
    <w:p>
      <w:pPr>
        <w:pStyle w:val="FirstParagraph"/>
      </w:pPr>
      <w:r>
        <w:rPr>
          <w:b/>
          <w:bCs/>
        </w:rPr>
        <w:t xml:space="preserve">Effective Date:</w:t>
      </w:r>
      <w:r>
        <w:t xml:space="preserve"> </w:t>
      </w:r>
      <w:r>
        <w:t xml:space="preserve">December 2025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December 5, 2025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EcoMetricx InfoSec Team (Andrei Ionete - andrei@ecometricx.com)</w:t>
      </w:r>
    </w:p>
    <w:bookmarkStart w:id="9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EcoMetricx LLC (</w:t>
      </w:r>
      <w:r>
        <w:t xml:space="preserve">“EcoMetricx,”</w:t>
      </w:r>
      <w:r>
        <w:t xml:space="preserve"> </w:t>
      </w:r>
      <w:r>
        <w:t xml:space="preserve">“we,”</w:t>
      </w:r>
      <w:r>
        <w:t xml:space="preserve"> </w:t>
      </w:r>
      <w:r>
        <w:t xml:space="preserve">“us,”</w:t>
      </w:r>
      <w:r>
        <w:t xml:space="preserve"> </w:t>
      </w:r>
      <w:r>
        <w:t xml:space="preserve">or</w:t>
      </w:r>
      <w:r>
        <w:t xml:space="preserve"> </w:t>
      </w:r>
      <w:r>
        <w:t xml:space="preserve">“our”</w:t>
      </w:r>
      <w:r>
        <w:t xml:space="preserve">) respects your privacy and is committed to protecting your personal data. This Privacy Policy explains how we collect, use, disclose, and safeguard your information when you use our services.</w:t>
      </w:r>
    </w:p>
    <w:bookmarkEnd w:id="9"/>
    <w:bookmarkStart w:id="12" w:name="information-we-collect"/>
    <w:p>
      <w:pPr>
        <w:pStyle w:val="Heading2"/>
      </w:pPr>
      <w:r>
        <w:t xml:space="preserve">2. Information We Collect</w:t>
      </w:r>
    </w:p>
    <w:bookmarkStart w:id="10" w:name="personal-information"/>
    <w:p>
      <w:pPr>
        <w:pStyle w:val="Heading3"/>
      </w:pPr>
      <w:r>
        <w:t xml:space="preserve">2.1 Personal Information</w:t>
      </w:r>
    </w:p>
    <w:p>
      <w:pPr>
        <w:pStyle w:val="FirstParagraph"/>
      </w:pPr>
      <w:r>
        <w:t xml:space="preserve">We may collect: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Contact Information:</w:t>
      </w:r>
      <w:r>
        <w:t xml:space="preserve"> </w:t>
      </w:r>
      <w:r>
        <w:t xml:space="preserve">Name, email address, phone number, company name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Account Information:</w:t>
      </w:r>
      <w:r>
        <w:t xml:space="preserve"> </w:t>
      </w:r>
      <w:r>
        <w:t xml:space="preserve">Username, password (encrypted), account preferences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Business Information:</w:t>
      </w:r>
      <w:r>
        <w:t xml:space="preserve"> </w:t>
      </w:r>
      <w:r>
        <w:t xml:space="preserve">Company data, utility account information, energy consumption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 Information:</w:t>
      </w:r>
      <w:r>
        <w:t xml:space="preserve"> </w:t>
      </w:r>
      <w:r>
        <w:t xml:space="preserve">IP address, browser type, device information, usage data</w:t>
      </w:r>
    </w:p>
    <w:bookmarkEnd w:id="10"/>
    <w:bookmarkStart w:id="11" w:name="data-classification"/>
    <w:p>
      <w:pPr>
        <w:pStyle w:val="Heading3"/>
      </w:pPr>
      <w:r>
        <w:t xml:space="preserve">2.2 Data Classification</w:t>
      </w:r>
    </w:p>
    <w:p>
      <w:pPr>
        <w:pStyle w:val="FirstParagraph"/>
      </w:pPr>
      <w:r>
        <w:t xml:space="preserve">Per our Data Classification Policy, we classify data 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Public:</w:t>
      </w:r>
      <w:r>
        <w:t xml:space="preserve"> </w:t>
      </w:r>
      <w:r>
        <w:t xml:space="preserve">Marketing materials, public documentation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Internal:</w:t>
      </w:r>
      <w:r>
        <w:t xml:space="preserve"> </w:t>
      </w:r>
      <w:r>
        <w:t xml:space="preserve">Internal communications, project information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Confidential:</w:t>
      </w:r>
      <w:r>
        <w:t xml:space="preserve"> </w:t>
      </w:r>
      <w:r>
        <w:t xml:space="preserve">Customer PII, financial data, proprietary information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Restricted:</w:t>
      </w:r>
      <w:r>
        <w:t xml:space="preserve"> </w:t>
      </w:r>
      <w:r>
        <w:t xml:space="preserve">Payment card data, health information, credentials</w:t>
      </w:r>
    </w:p>
    <w:bookmarkEnd w:id="11"/>
    <w:bookmarkEnd w:id="12"/>
    <w:bookmarkStart w:id="13" w:name="how-we-use-your-information"/>
    <w:p>
      <w:pPr>
        <w:pStyle w:val="Heading2"/>
      </w:pPr>
      <w:r>
        <w:t xml:space="preserve">3. How We Use Your Information</w:t>
      </w:r>
    </w:p>
    <w:p>
      <w:pPr>
        <w:pStyle w:val="FirstParagraph"/>
      </w:pPr>
      <w:r>
        <w:t xml:space="preserve">We use collected information to:</w:t>
      </w:r>
      <w:r>
        <w:t xml:space="preserve"> </w:t>
      </w:r>
      <w:r>
        <w:t xml:space="preserve">- Provide and maintain our services</w:t>
      </w:r>
      <w:r>
        <w:t xml:space="preserve"> </w:t>
      </w:r>
      <w:r>
        <w:t xml:space="preserve">- Process and analyze energy data</w:t>
      </w:r>
      <w:r>
        <w:t xml:space="preserve"> </w:t>
      </w:r>
      <w:r>
        <w:t xml:space="preserve">- Communicate with you about our services</w:t>
      </w:r>
      <w:r>
        <w:t xml:space="preserve"> </w:t>
      </w:r>
      <w:r>
        <w:t xml:space="preserve">- Improve our products and services</w:t>
      </w:r>
      <w:r>
        <w:t xml:space="preserve"> </w:t>
      </w:r>
      <w:r>
        <w:t xml:space="preserve">- Comply with legal obligations</w:t>
      </w:r>
      <w:r>
        <w:t xml:space="preserve"> </w:t>
      </w:r>
      <w:r>
        <w:t xml:space="preserve">- Protect against fraud and security threats</w:t>
      </w:r>
    </w:p>
    <w:bookmarkEnd w:id="13"/>
    <w:bookmarkStart w:id="16" w:name="data-sharing-and-disclosure"/>
    <w:p>
      <w:pPr>
        <w:pStyle w:val="Heading2"/>
      </w:pPr>
      <w:r>
        <w:t xml:space="preserve">4. Data Sharing and Disclosure</w:t>
      </w:r>
    </w:p>
    <w:bookmarkStart w:id="14" w:name="third-party-service-providers"/>
    <w:p>
      <w:pPr>
        <w:pStyle w:val="Heading3"/>
      </w:pPr>
      <w:r>
        <w:t xml:space="preserve">4.1 Third-Party Service Providers</w:t>
      </w:r>
    </w:p>
    <w:p>
      <w:pPr>
        <w:pStyle w:val="FirstParagraph"/>
      </w:pPr>
      <w:r>
        <w:t xml:space="preserve">We share data with service providers who assist in our operations: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Cloud Infrastructure:</w:t>
      </w:r>
      <w:r>
        <w:t xml:space="preserve"> </w:t>
      </w:r>
      <w:r>
        <w:t xml:space="preserve">Amazon Web Services (AWS)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Communication:</w:t>
      </w:r>
      <w:r>
        <w:t xml:space="preserve"> </w:t>
      </w:r>
      <w:r>
        <w:t xml:space="preserve">Microsoft 365, Slack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Development:</w:t>
      </w:r>
      <w:r>
        <w:t xml:space="preserve"> </w:t>
      </w:r>
      <w:r>
        <w:t xml:space="preserve">GitHub, Atlassian Confluence</w:t>
      </w:r>
    </w:p>
    <w:p>
      <w:pPr>
        <w:pStyle w:val="BodyText"/>
      </w:pPr>
      <w:r>
        <w:t xml:space="preserve">All third parties are bound by data protection agreements per our Vendor Management Policy.</w:t>
      </w:r>
    </w:p>
    <w:bookmarkEnd w:id="14"/>
    <w:bookmarkStart w:id="15" w:name="legal-requirements"/>
    <w:p>
      <w:pPr>
        <w:pStyle w:val="Heading3"/>
      </w:pPr>
      <w:r>
        <w:t xml:space="preserve">4.2 Legal Requirements</w:t>
      </w:r>
    </w:p>
    <w:p>
      <w:pPr>
        <w:pStyle w:val="FirstParagraph"/>
      </w:pPr>
      <w:r>
        <w:t xml:space="preserve">We may disclose information when required by:</w:t>
      </w:r>
      <w:r>
        <w:t xml:space="preserve"> </w:t>
      </w:r>
      <w:r>
        <w:t xml:space="preserve">- Legal process or court order</w:t>
      </w:r>
      <w:r>
        <w:t xml:space="preserve"> </w:t>
      </w:r>
      <w:r>
        <w:t xml:space="preserve">- Government requests</w:t>
      </w:r>
      <w:r>
        <w:t xml:space="preserve"> </w:t>
      </w:r>
      <w:r>
        <w:t xml:space="preserve">- Protection of our rights and safety</w:t>
      </w:r>
    </w:p>
    <w:bookmarkEnd w:id="15"/>
    <w:bookmarkEnd w:id="16"/>
    <w:bookmarkStart w:id="17" w:name="data-security"/>
    <w:p>
      <w:pPr>
        <w:pStyle w:val="Heading2"/>
      </w:pPr>
      <w:r>
        <w:t xml:space="preserve">5. Data Security</w:t>
      </w:r>
    </w:p>
    <w:p>
      <w:pPr>
        <w:pStyle w:val="FirstParagraph"/>
      </w:pPr>
      <w:r>
        <w:t xml:space="preserve">We implement security measures including: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Encryption:</w:t>
      </w:r>
      <w:r>
        <w:t xml:space="preserve"> </w:t>
      </w:r>
      <w:r>
        <w:t xml:space="preserve">AES-256 at rest, TLS 1.2+ in transit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Access Control:</w:t>
      </w:r>
      <w:r>
        <w:t xml:space="preserve"> </w:t>
      </w:r>
      <w:r>
        <w:t xml:space="preserve">Role-based access, multi-factor authentication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Monitoring:</w:t>
      </w:r>
      <w:r>
        <w:t xml:space="preserve"> </w:t>
      </w:r>
      <w:r>
        <w:t xml:space="preserve">CloudWatch, CloudTrail logging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Compliance:</w:t>
      </w:r>
      <w:r>
        <w:t xml:space="preserve"> </w:t>
      </w:r>
      <w:r>
        <w:t xml:space="preserve">SOC 2 Type II, aligned with ISO 27001</w:t>
      </w:r>
    </w:p>
    <w:bookmarkEnd w:id="17"/>
    <w:bookmarkStart w:id="18" w:name="data-retention"/>
    <w:p>
      <w:pPr>
        <w:pStyle w:val="Heading2"/>
      </w:pPr>
      <w:r>
        <w:t xml:space="preserve">6. Data Retention</w:t>
      </w:r>
    </w:p>
    <w:p>
      <w:pPr>
        <w:pStyle w:val="FirstParagraph"/>
      </w:pPr>
      <w:r>
        <w:t xml:space="preserve">We retain personal data: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Active accounts:</w:t>
      </w:r>
      <w:r>
        <w:t xml:space="preserve"> </w:t>
      </w:r>
      <w:r>
        <w:t xml:space="preserve">Duration of the business relationship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Inactive accounts:</w:t>
      </w:r>
      <w:r>
        <w:t xml:space="preserve"> </w:t>
      </w:r>
      <w:r>
        <w:t xml:space="preserve">Per contractual requirements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Legal holds:</w:t>
      </w:r>
      <w:r>
        <w:t xml:space="preserve"> </w:t>
      </w:r>
      <w:r>
        <w:t xml:space="preserve">As required by law</w:t>
      </w:r>
    </w:p>
    <w:p>
      <w:pPr>
        <w:pStyle w:val="BodyText"/>
      </w:pPr>
      <w:r>
        <w:t xml:space="preserve">Data is securely deleted when retention periods expire.</w:t>
      </w:r>
    </w:p>
    <w:bookmarkEnd w:id="18"/>
    <w:bookmarkStart w:id="20" w:name="your-rights"/>
    <w:p>
      <w:pPr>
        <w:pStyle w:val="Heading2"/>
      </w:pPr>
      <w:r>
        <w:t xml:space="preserve">7. Your Rights</w:t>
      </w:r>
    </w:p>
    <w:p>
      <w:pPr>
        <w:pStyle w:val="FirstParagraph"/>
      </w:pPr>
      <w:r>
        <w:t xml:space="preserve">You have the right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Access:</w:t>
      </w:r>
      <w:r>
        <w:t xml:space="preserve"> </w:t>
      </w:r>
      <w:r>
        <w:t xml:space="preserve">Request a copy of your personal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Rectification:</w:t>
      </w:r>
      <w:r>
        <w:t xml:space="preserve"> </w:t>
      </w:r>
      <w:r>
        <w:t xml:space="preserve">Correct inaccurate personal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Erasure:</w:t>
      </w:r>
      <w:r>
        <w:t xml:space="preserve"> </w:t>
      </w:r>
      <w:r>
        <w:t xml:space="preserve">Request deletion of your personal data (subject to legal requirements)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Portability:</w:t>
      </w:r>
      <w:r>
        <w:t xml:space="preserve"> </w:t>
      </w:r>
      <w:r>
        <w:t xml:space="preserve">Receive your data in a portable format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Object:</w:t>
      </w:r>
      <w:r>
        <w:t xml:space="preserve"> </w:t>
      </w:r>
      <w:r>
        <w:t xml:space="preserve">Object to certain processing activities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Withdraw Consent:</w:t>
      </w:r>
      <w:r>
        <w:t xml:space="preserve"> </w:t>
      </w:r>
      <w:r>
        <w:t xml:space="preserve">Withdraw previously given consent</w:t>
      </w:r>
    </w:p>
    <w:bookmarkStart w:id="19" w:name="how-to-exercise-your-rights"/>
    <w:p>
      <w:pPr>
        <w:pStyle w:val="Heading3"/>
      </w:pPr>
      <w:r>
        <w:t xml:space="preserve">7.1 How to Exercise Your Rights</w:t>
      </w:r>
    </w:p>
    <w:p>
      <w:pPr>
        <w:pStyle w:val="FirstParagraph"/>
      </w:pPr>
      <w:r>
        <w:t xml:space="preserve">Contact us at: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privacy@ecometricx.com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Security Contact:</w:t>
      </w:r>
      <w:r>
        <w:t xml:space="preserve"> </w:t>
      </w:r>
      <w:r>
        <w:t xml:space="preserve">security@ecometricx.com</w:t>
      </w:r>
    </w:p>
    <w:p>
      <w:pPr>
        <w:pStyle w:val="BodyText"/>
      </w:pPr>
      <w:r>
        <w:t xml:space="preserve">We will respond within 30 days.</w:t>
      </w:r>
    </w:p>
    <w:bookmarkEnd w:id="19"/>
    <w:bookmarkEnd w:id="20"/>
    <w:bookmarkStart w:id="21" w:name="international-data-transfers"/>
    <w:p>
      <w:pPr>
        <w:pStyle w:val="Heading2"/>
      </w:pPr>
      <w:r>
        <w:t xml:space="preserve">8. International Data Transfers</w:t>
      </w:r>
    </w:p>
    <w:p>
      <w:pPr>
        <w:pStyle w:val="FirstParagraph"/>
      </w:pPr>
      <w:r>
        <w:t xml:space="preserve">Data may be transferred to and processed in the United States. We ensure appropriate safeguards are in place for international transfers.</w:t>
      </w:r>
    </w:p>
    <w:bookmarkEnd w:id="21"/>
    <w:bookmarkStart w:id="22" w:name="childrens-privacy"/>
    <w:p>
      <w:pPr>
        <w:pStyle w:val="Heading2"/>
      </w:pPr>
      <w:r>
        <w:t xml:space="preserve">9. Children’s Privacy</w:t>
      </w:r>
    </w:p>
    <w:p>
      <w:pPr>
        <w:pStyle w:val="FirstParagraph"/>
      </w:pPr>
      <w:r>
        <w:t xml:space="preserve">Our services are not directed to children under 16. We do not knowingly collect personal information from children.</w:t>
      </w:r>
    </w:p>
    <w:bookmarkEnd w:id="22"/>
    <w:bookmarkStart w:id="23" w:name="cookies-and-tracking"/>
    <w:p>
      <w:pPr>
        <w:pStyle w:val="Heading2"/>
      </w:pPr>
      <w:r>
        <w:t xml:space="preserve">10. Cookies and Tracking</w:t>
      </w:r>
    </w:p>
    <w:p>
      <w:pPr>
        <w:pStyle w:val="FirstParagraph"/>
      </w:pPr>
      <w:r>
        <w:t xml:space="preserve">We use cookies and similar technologies for:</w:t>
      </w:r>
      <w:r>
        <w:t xml:space="preserve"> </w:t>
      </w:r>
      <w:r>
        <w:t xml:space="preserve">- Essential site functionality</w:t>
      </w:r>
      <w:r>
        <w:t xml:space="preserve"> </w:t>
      </w:r>
      <w:r>
        <w:t xml:space="preserve">- Analytics and performance</w:t>
      </w:r>
      <w:r>
        <w:t xml:space="preserve"> </w:t>
      </w:r>
      <w:r>
        <w:t xml:space="preserve">- User preferences</w:t>
      </w:r>
    </w:p>
    <w:p>
      <w:pPr>
        <w:pStyle w:val="BodyText"/>
      </w:pPr>
      <w:r>
        <w:t xml:space="preserve">You can manage cookie preferences through your browser settings.</w:t>
      </w:r>
    </w:p>
    <w:bookmarkEnd w:id="23"/>
    <w:bookmarkStart w:id="24" w:name="changes-to-this-policy"/>
    <w:p>
      <w:pPr>
        <w:pStyle w:val="Heading2"/>
      </w:pPr>
      <w:r>
        <w:t xml:space="preserve">11. Changes to This Policy</w:t>
      </w:r>
    </w:p>
    <w:p>
      <w:pPr>
        <w:pStyle w:val="FirstParagraph"/>
      </w:pPr>
      <w:r>
        <w:t xml:space="preserve">We may update this Privacy Policy periodically. We will notify you of material changes via email or website notice.</w:t>
      </w:r>
    </w:p>
    <w:bookmarkEnd w:id="24"/>
    <w:bookmarkStart w:id="25" w:name="contact-information"/>
    <w:p>
      <w:pPr>
        <w:pStyle w:val="Heading2"/>
      </w:pPr>
      <w:r>
        <w:t xml:space="preserve">12. Contact Information</w:t>
      </w:r>
    </w:p>
    <w:p>
      <w:pPr>
        <w:pStyle w:val="FirstParagraph"/>
      </w:pPr>
      <w:r>
        <w:rPr>
          <w:b/>
          <w:bCs/>
        </w:rPr>
        <w:t xml:space="preserve">EcoMetricx LLC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Privacy Inquiries:</w:t>
      </w:r>
      <w:r>
        <w:t xml:space="preserve"> </w:t>
      </w:r>
      <w:r>
        <w:t xml:space="preserve">privacy@ecometricx.com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Security:</w:t>
      </w:r>
      <w:r>
        <w:t xml:space="preserve"> </w:t>
      </w:r>
      <w:r>
        <w:t xml:space="preserve">security@ecometricx.com (Andrei Ionete)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General:</w:t>
      </w:r>
      <w:r>
        <w:t xml:space="preserve"> </w:t>
      </w:r>
      <w:r>
        <w:t xml:space="preserve">info@ecometricx.com</w:t>
      </w:r>
    </w:p>
    <w:bookmarkEnd w:id="25"/>
    <w:bookmarkStart w:id="26" w:name="regulatory-compliance"/>
    <w:p>
      <w:pPr>
        <w:pStyle w:val="Heading2"/>
      </w:pPr>
      <w:r>
        <w:t xml:space="preserve">13. Regulatory Compliance</w:t>
      </w:r>
    </w:p>
    <w:p>
      <w:pPr>
        <w:pStyle w:val="FirstParagraph"/>
      </w:pPr>
      <w:r>
        <w:t xml:space="preserve">This policy supports compliance 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GDPR:</w:t>
      </w:r>
      <w:r>
        <w:t xml:space="preserve"> </w:t>
      </w:r>
      <w:r>
        <w:t xml:space="preserve">For EU data subjects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CCPA:</w:t>
      </w:r>
      <w:r>
        <w:t xml:space="preserve"> </w:t>
      </w:r>
      <w:r>
        <w:t xml:space="preserve">For California residents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HIPAA:</w:t>
      </w:r>
      <w:r>
        <w:t xml:space="preserve"> </w:t>
      </w:r>
      <w:r>
        <w:t xml:space="preserve">Where applicable to health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SOC 2:</w:t>
      </w:r>
      <w:r>
        <w:t xml:space="preserve"> </w:t>
      </w:r>
      <w:r>
        <w:t xml:space="preserve">Trust Service Criteria for Privacy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  <w:r>
        <w:t xml:space="preserve"> </w:t>
      </w:r>
      <w:r>
        <w:t xml:space="preserve">Version 1.0 | December 2025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2025-12-05T23:38:35Z</dcterms:created>
  <dcterms:modified xsi:type="dcterms:W3CDTF">2025-12-05T23:38:35Z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