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vulnerability-management-policy"/>
    <w:p>
      <w:pPr>
        <w:pStyle w:val="Heading1"/>
      </w:pPr>
      <w:r>
        <w:t xml:space="preserve">Vulnerability Management Policy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Effective Date:</w:t>
      </w:r>
      <w:r>
        <w:t xml:space="preserve"> </w:t>
      </w:r>
      <w:r>
        <w:t xml:space="preserve">December 2025</w:t>
      </w:r>
      <w:r>
        <w:br/>
      </w:r>
      <w:r>
        <w:rPr>
          <w:b/>
          <w:bCs/>
        </w:rPr>
        <w:t xml:space="preserve">Owner:</w:t>
      </w:r>
      <w:r>
        <w:t xml:space="preserve"> </w:t>
      </w:r>
      <w:r>
        <w:t xml:space="preserve">EcoMetricx InfoSec Team (Andrei Ionete - andrei@ecometricx.com)</w:t>
      </w:r>
      <w:r>
        <w:br/>
      </w:r>
      <w:r>
        <w:rPr>
          <w:b/>
          <w:bCs/>
        </w:rPr>
        <w:t xml:space="preserve">Review Cycle:</w:t>
      </w:r>
      <w:r>
        <w:t xml:space="preserve"> </w:t>
      </w:r>
      <w:r>
        <w:t xml:space="preserve">Annually</w: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Establish requirements for identifying, assessing, and remediating security vulnerabilities in EcoMetricx systems and applications. Supports SOC 2 CC7.1 (System Monitoring) and CC7.2 (Incident Response).</w:t>
      </w:r>
    </w:p>
    <w:bookmarkEnd w:id="9"/>
    <w:bookmarkStart w:id="10" w:name="scope"/>
    <w:p>
      <w:pPr>
        <w:pStyle w:val="Heading2"/>
      </w:pPr>
      <w:r>
        <w:t xml:space="preserve">2. Scope</w:t>
      </w:r>
    </w:p>
    <w:p>
      <w:pPr>
        <w:pStyle w:val="Compact"/>
        <w:numPr>
          <w:ilvl w:val="0"/>
          <w:numId w:val="1001"/>
        </w:numPr>
      </w:pPr>
      <w:r>
        <w:t xml:space="preserve">All EcoMetricx-managed systems and applications</w:t>
      </w:r>
    </w:p>
    <w:p>
      <w:pPr>
        <w:pStyle w:val="Compact"/>
        <w:numPr>
          <w:ilvl w:val="0"/>
          <w:numId w:val="1001"/>
        </w:numPr>
      </w:pPr>
      <w:r>
        <w:t xml:space="preserve">AWS infrastructure (EC2, RDS, Lambda, containers)</w:t>
      </w:r>
    </w:p>
    <w:p>
      <w:pPr>
        <w:pStyle w:val="Compact"/>
        <w:numPr>
          <w:ilvl w:val="0"/>
          <w:numId w:val="1001"/>
        </w:numPr>
      </w:pPr>
      <w:r>
        <w:t xml:space="preserve">Third-party software and dependencies</w:t>
      </w:r>
    </w:p>
    <w:p>
      <w:pPr>
        <w:pStyle w:val="Compact"/>
        <w:numPr>
          <w:ilvl w:val="0"/>
          <w:numId w:val="1001"/>
        </w:numPr>
      </w:pPr>
      <w:r>
        <w:t xml:space="preserve">Network devices and security controls</w:t>
      </w:r>
    </w:p>
    <w:p>
      <w:pPr>
        <w:pStyle w:val="Compact"/>
        <w:numPr>
          <w:ilvl w:val="0"/>
          <w:numId w:val="1001"/>
        </w:numPr>
      </w:pPr>
      <w:r>
        <w:t xml:space="preserve">Web applications and APIs</w:t>
      </w:r>
    </w:p>
    <w:bookmarkEnd w:id="10"/>
    <w:bookmarkStart w:id="13" w:name="vulnerability-assessment"/>
    <w:p>
      <w:pPr>
        <w:pStyle w:val="Heading2"/>
      </w:pPr>
      <w:r>
        <w:t xml:space="preserve">3. Vulnerability Assessment</w:t>
      </w:r>
    </w:p>
    <w:bookmarkStart w:id="11" w:name="assessment-methods"/>
    <w:p>
      <w:pPr>
        <w:pStyle w:val="Heading3"/>
      </w:pPr>
      <w:r>
        <w:t xml:space="preserve">3.1 Assessment Methods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Vulnerability Scans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All production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Scanning</w:t>
            </w:r>
          </w:p>
        </w:tc>
        <w:tc>
          <w:tcPr/>
          <w:p>
            <w:pPr>
              <w:pStyle w:val="Compact"/>
            </w:pPr>
            <w:r>
              <w:t xml:space="preserve">Per build (CI/CD)</w:t>
            </w:r>
          </w:p>
        </w:tc>
        <w:tc>
          <w:tcPr/>
          <w:p>
            <w:pPr>
              <w:pStyle w:val="Compact"/>
            </w:pPr>
            <w:r>
              <w:t xml:space="preserve">All applications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Penetration Testing</w:t>
            </w:r>
          </w:p>
        </w:tc>
        <w:tc>
          <w:tcPr/>
          <w:p>
            <w:pPr>
              <w:pStyle w:val="Compact"/>
            </w:pPr>
            <w:r>
              <w:t xml:space="preserve">Annually</w:t>
            </w:r>
          </w:p>
        </w:tc>
        <w:tc>
          <w:tcPr/>
          <w:p>
            <w:pPr>
              <w:pStyle w:val="Compact"/>
            </w:pPr>
            <w:r>
              <w:t xml:space="preserve">Critical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Security Hub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AWS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Security Reviews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Configuration review</w:t>
            </w:r>
          </w:p>
        </w:tc>
      </w:tr>
    </w:tbl>
    <w:bookmarkEnd w:id="11"/>
    <w:bookmarkStart w:id="12" w:name="tools"/>
    <w:p>
      <w:pPr>
        <w:pStyle w:val="Heading3"/>
      </w:pPr>
      <w:r>
        <w:t xml:space="preserve">3.2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AWS Security Hub:</w:t>
      </w:r>
      <w:r>
        <w:t xml:space="preserve"> </w:t>
      </w:r>
      <w:r>
        <w:t xml:space="preserve">Aggregated security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Amazon Inspector:</w:t>
      </w:r>
      <w:r>
        <w:t xml:space="preserve"> </w:t>
      </w:r>
      <w:r>
        <w:t xml:space="preserve">EC2 and container scanning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Dependabot/Snyk:</w:t>
      </w:r>
      <w:r>
        <w:t xml:space="preserve"> </w:t>
      </w:r>
      <w:r>
        <w:t xml:space="preserve">Dependency vulnerability scanning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Manual Reviews:</w:t>
      </w:r>
      <w:r>
        <w:t xml:space="preserve"> </w:t>
      </w:r>
      <w:r>
        <w:t xml:space="preserve">CloudTrail, CloudWatch analysis</w:t>
      </w:r>
    </w:p>
    <w:bookmarkEnd w:id="12"/>
    <w:bookmarkEnd w:id="13"/>
    <w:bookmarkStart w:id="16" w:name="vulnerability-classification"/>
    <w:p>
      <w:pPr>
        <w:pStyle w:val="Heading2"/>
      </w:pPr>
      <w:r>
        <w:t xml:space="preserve">4. Vulnerability Classification</w:t>
      </w:r>
    </w:p>
    <w:bookmarkStart w:id="14" w:name="severity-levels-cvss-based"/>
    <w:p>
      <w:pPr>
        <w:pStyle w:val="Heading3"/>
      </w:pPr>
      <w:r>
        <w:t xml:space="preserve">4.1 Severity Levels (CVSS-Based)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CVSS Score</w:t>
            </w:r>
          </w:p>
        </w:tc>
        <w:tc>
          <w:tcPr/>
          <w:p>
            <w:pPr>
              <w:pStyle w:val="Compact"/>
            </w:pPr>
            <w:r>
              <w:t xml:space="preserve">Remediation Timeline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9.0-10.0</w:t>
            </w:r>
          </w:p>
        </w:tc>
        <w:tc>
          <w:tcPr/>
          <w:p>
            <w:pPr>
              <w:pStyle w:val="Compact"/>
            </w:pPr>
            <w:r>
              <w:t xml:space="preserve">Within 24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7.0-8.9</w:t>
            </w:r>
          </w:p>
        </w:tc>
        <w:tc>
          <w:tcPr/>
          <w:p>
            <w:pPr>
              <w:pStyle w:val="Compact"/>
            </w:pPr>
            <w:r>
              <w:t xml:space="preserve">Within 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4.0-6.9</w:t>
            </w:r>
          </w:p>
        </w:tc>
        <w:tc>
          <w:tcPr/>
          <w:p>
            <w:pPr>
              <w:pStyle w:val="Compact"/>
            </w:pPr>
            <w:r>
              <w:t xml:space="preserve">Within 30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0.1-3.9</w:t>
            </w:r>
          </w:p>
        </w:tc>
        <w:tc>
          <w:tcPr/>
          <w:p>
            <w:pPr>
              <w:pStyle w:val="Compact"/>
            </w:pPr>
            <w:r>
              <w:t xml:space="preserve">Within 90 days</w:t>
            </w:r>
          </w:p>
        </w:tc>
      </w:tr>
    </w:tbl>
    <w:bookmarkEnd w:id="14"/>
    <w:bookmarkStart w:id="15" w:name="context-adjustments"/>
    <w:p>
      <w:pPr>
        <w:pStyle w:val="Heading3"/>
      </w:pPr>
      <w:r>
        <w:t xml:space="preserve">4.2 Context Adjustments</w:t>
      </w:r>
    </w:p>
    <w:p>
      <w:pPr>
        <w:pStyle w:val="FirstParagraph"/>
      </w:pPr>
      <w:r>
        <w:t xml:space="preserve">Adjust timeline based 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Classification:</w:t>
      </w:r>
      <w:r>
        <w:t xml:space="preserve"> </w:t>
      </w:r>
      <w:r>
        <w:t xml:space="preserve">Restricted data systems +1 severity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Internet Exposure:</w:t>
      </w:r>
      <w:r>
        <w:t xml:space="preserve"> </w:t>
      </w:r>
      <w:r>
        <w:t xml:space="preserve">Public-facing systems +1 severity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Active Exploitation:</w:t>
      </w:r>
      <w:r>
        <w:t xml:space="preserve"> </w:t>
      </w:r>
      <w:r>
        <w:t xml:space="preserve">Known exploited = Critical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Mitigating Controls:</w:t>
      </w:r>
      <w:r>
        <w:t xml:space="preserve"> </w:t>
      </w:r>
      <w:r>
        <w:t xml:space="preserve">Documented compensating controls may extend timeline</w:t>
      </w:r>
    </w:p>
    <w:bookmarkEnd w:id="15"/>
    <w:bookmarkEnd w:id="16"/>
    <w:bookmarkStart w:id="20" w:name="remediation-process"/>
    <w:p>
      <w:pPr>
        <w:pStyle w:val="Heading2"/>
      </w:pPr>
      <w:r>
        <w:t xml:space="preserve">5. Remediation Process</w:t>
      </w:r>
    </w:p>
    <w:bookmarkStart w:id="17" w:name="workflow"/>
    <w:p>
      <w:pPr>
        <w:pStyle w:val="Heading3"/>
      </w:pPr>
      <w:r>
        <w:t xml:space="preserve">5.1 Workflow</w:t>
      </w:r>
    </w:p>
    <w:p>
      <w:pPr>
        <w:pStyle w:val="SourceCode"/>
      </w:pPr>
      <w:r>
        <w:rPr>
          <w:rStyle w:val="VerbatimChar"/>
        </w:rPr>
        <w:t xml:space="preserve">Discovery → Triage → Prioritize → Remediate → Verify → Document</w:t>
      </w:r>
    </w:p>
    <w:bookmarkEnd w:id="17"/>
    <w:bookmarkStart w:id="18" w:name="steps"/>
    <w:p>
      <w:pPr>
        <w:pStyle w:val="Heading3"/>
      </w:pPr>
      <w:r>
        <w:t xml:space="preserve">5.2 Steps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Discovery:</w:t>
      </w:r>
      <w:r>
        <w:t xml:space="preserve"> </w:t>
      </w:r>
      <w:r>
        <w:t xml:space="preserve">Vulnerability identified via scanning or notification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Triage:</w:t>
      </w:r>
      <w:r>
        <w:t xml:space="preserve"> </w:t>
      </w:r>
      <w:r>
        <w:t xml:space="preserve">Validate, classify severity, assign owner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Prioritize:</w:t>
      </w:r>
      <w:r>
        <w:t xml:space="preserve"> </w:t>
      </w:r>
      <w:r>
        <w:t xml:space="preserve">Based on severity, exposure, data classification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Remediate:</w:t>
      </w:r>
      <w:r>
        <w:t xml:space="preserve"> </w:t>
      </w:r>
      <w:r>
        <w:t xml:space="preserve">Apply patch, configuration change, or compensating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Verify:</w:t>
      </w:r>
      <w:r>
        <w:t xml:space="preserve"> </w:t>
      </w:r>
      <w:r>
        <w:t xml:space="preserve">Re-scan to confirm remediation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Document:</w:t>
      </w:r>
      <w:r>
        <w:t xml:space="preserve"> </w:t>
      </w:r>
      <w:r>
        <w:t xml:space="preserve">Record in vulnerability tracking system</w:t>
      </w:r>
    </w:p>
    <w:bookmarkEnd w:id="18"/>
    <w:bookmarkStart w:id="19" w:name="remediation-methods"/>
    <w:p>
      <w:pPr>
        <w:pStyle w:val="Heading3"/>
      </w:pPr>
      <w:r>
        <w:t xml:space="preserve">5.3 Remediation Methods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Patching</w:t>
            </w:r>
          </w:p>
        </w:tc>
        <w:tc>
          <w:tcPr/>
          <w:p>
            <w:pPr>
              <w:pStyle w:val="Compact"/>
            </w:pPr>
            <w:r>
              <w:t xml:space="preserve">Software updates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Misconfiguration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Compensating Control</w:t>
            </w:r>
          </w:p>
        </w:tc>
        <w:tc>
          <w:tcPr/>
          <w:p>
            <w:pPr>
              <w:pStyle w:val="Compact"/>
            </w:pPr>
            <w:r>
              <w:t xml:space="preserve">Patch not available, risk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</w:t>
            </w:r>
          </w:p>
        </w:tc>
        <w:tc>
          <w:tcPr/>
          <w:p>
            <w:pPr>
              <w:pStyle w:val="Compact"/>
            </w:pPr>
            <w:r>
              <w:t xml:space="preserve">High risk, cannot remediate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Removal</w:t>
            </w:r>
          </w:p>
        </w:tc>
        <w:tc>
          <w:tcPr/>
          <w:p>
            <w:pPr>
              <w:pStyle w:val="Compact"/>
            </w:pPr>
            <w:r>
              <w:t xml:space="preserve">Deprecated software/service</w:t>
            </w:r>
          </w:p>
        </w:tc>
      </w:tr>
    </w:tbl>
    <w:bookmarkEnd w:id="19"/>
    <w:bookmarkEnd w:id="20"/>
    <w:bookmarkStart w:id="24" w:name="exception-process"/>
    <w:p>
      <w:pPr>
        <w:pStyle w:val="Heading2"/>
      </w:pPr>
      <w:r>
        <w:t xml:space="preserve">6. Exception Process</w:t>
      </w:r>
    </w:p>
    <w:bookmarkStart w:id="21" w:name="exception-criteria"/>
    <w:p>
      <w:pPr>
        <w:pStyle w:val="Heading3"/>
      </w:pPr>
      <w:r>
        <w:t xml:space="preserve">6.1 Exception Criteria</w:t>
      </w:r>
    </w:p>
    <w:p>
      <w:pPr>
        <w:pStyle w:val="FirstParagraph"/>
      </w:pPr>
      <w:r>
        <w:t xml:space="preserve">Exceptions may be granted when:</w:t>
      </w:r>
      <w:r>
        <w:t xml:space="preserve"> </w:t>
      </w:r>
      <w:r>
        <w:t xml:space="preserve">- Patch causes system instability (documented)</w:t>
      </w:r>
      <w:r>
        <w:t xml:space="preserve"> </w:t>
      </w:r>
      <w:r>
        <w:t xml:space="preserve">- Business-critical system requires change window</w:t>
      </w:r>
      <w:r>
        <w:t xml:space="preserve"> </w:t>
      </w:r>
      <w:r>
        <w:t xml:space="preserve">- Compensating controls adequately mitigate risk</w:t>
      </w:r>
    </w:p>
    <w:bookmarkEnd w:id="21"/>
    <w:bookmarkStart w:id="22" w:name="exception-requirements"/>
    <w:p>
      <w:pPr>
        <w:pStyle w:val="Heading3"/>
      </w:pPr>
      <w:r>
        <w:t xml:space="preserve">6.2 Exception Requirements</w:t>
      </w:r>
    </w:p>
    <w:p>
      <w:pPr>
        <w:pStyle w:val="Compact"/>
        <w:numPr>
          <w:ilvl w:val="0"/>
          <w:numId w:val="1004"/>
        </w:numPr>
      </w:pPr>
      <w:r>
        <w:t xml:space="preserve">Business justification documented</w:t>
      </w:r>
    </w:p>
    <w:p>
      <w:pPr>
        <w:pStyle w:val="Compact"/>
        <w:numPr>
          <w:ilvl w:val="0"/>
          <w:numId w:val="1005"/>
        </w:numPr>
      </w:pPr>
      <w:r>
        <w:t xml:space="preserve">Risk assessment completed</w:t>
      </w:r>
    </w:p>
    <w:p>
      <w:pPr>
        <w:pStyle w:val="Compact"/>
        <w:numPr>
          <w:ilvl w:val="0"/>
          <w:numId w:val="1006"/>
        </w:numPr>
      </w:pPr>
      <w:r>
        <w:t xml:space="preserve">Compensating controls identified</w:t>
      </w:r>
    </w:p>
    <w:p>
      <w:pPr>
        <w:pStyle w:val="Compact"/>
        <w:numPr>
          <w:ilvl w:val="0"/>
          <w:numId w:val="1007"/>
        </w:numPr>
      </w:pPr>
      <w:r>
        <w:t xml:space="preserve">Manager approval obtained</w:t>
      </w:r>
    </w:p>
    <w:p>
      <w:pPr>
        <w:pStyle w:val="Compact"/>
        <w:numPr>
          <w:ilvl w:val="0"/>
          <w:numId w:val="1008"/>
        </w:numPr>
      </w:pPr>
      <w:r>
        <w:t xml:space="preserve">Expiration date set (maximum 90 days)</w:t>
      </w:r>
    </w:p>
    <w:p>
      <w:pPr>
        <w:pStyle w:val="Compact"/>
        <w:numPr>
          <w:ilvl w:val="0"/>
          <w:numId w:val="1009"/>
        </w:numPr>
      </w:pPr>
      <w:r>
        <w:t xml:space="preserve">Exception tracked in Risk Register</w:t>
      </w:r>
    </w:p>
    <w:bookmarkEnd w:id="22"/>
    <w:bookmarkStart w:id="23" w:name="exception-limits"/>
    <w:p>
      <w:pPr>
        <w:pStyle w:val="Heading3"/>
      </w:pPr>
      <w:r>
        <w:t xml:space="preserve">6.3 Exception Limits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Maximum Exception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180 days</w:t>
            </w:r>
          </w:p>
        </w:tc>
      </w:tr>
    </w:tbl>
    <w:bookmarkEnd w:id="23"/>
    <w:bookmarkEnd w:id="24"/>
    <w:bookmarkStart w:id="29" w:name="aws-specific-vulnerabilities"/>
    <w:p>
      <w:pPr>
        <w:pStyle w:val="Heading2"/>
      </w:pPr>
      <w:r>
        <w:t xml:space="preserve">7. AWS-Specific Vulnerabilities</w:t>
      </w:r>
    </w:p>
    <w:bookmarkStart w:id="25" w:name="ec2-instances"/>
    <w:p>
      <w:pPr>
        <w:pStyle w:val="Heading3"/>
      </w:pPr>
      <w:r>
        <w:t xml:space="preserve">7.1 EC2 Instances</w:t>
      </w:r>
    </w:p>
    <w:p>
      <w:pPr>
        <w:pStyle w:val="Compact"/>
        <w:numPr>
          <w:ilvl w:val="0"/>
          <w:numId w:val="1010"/>
        </w:numPr>
      </w:pPr>
      <w:r>
        <w:t xml:space="preserve">Amazon Inspector for vulnerability scanning</w:t>
      </w:r>
    </w:p>
    <w:p>
      <w:pPr>
        <w:pStyle w:val="Compact"/>
        <w:numPr>
          <w:ilvl w:val="0"/>
          <w:numId w:val="1010"/>
        </w:numPr>
      </w:pPr>
      <w:r>
        <w:t xml:space="preserve">SSM Patch Manager for automated patching</w:t>
      </w:r>
    </w:p>
    <w:p>
      <w:pPr>
        <w:pStyle w:val="Compact"/>
        <w:numPr>
          <w:ilvl w:val="0"/>
          <w:numId w:val="1010"/>
        </w:numPr>
      </w:pPr>
      <w:r>
        <w:t xml:space="preserve">Security Groups review per audit findings</w:t>
      </w:r>
    </w:p>
    <w:p>
      <w:pPr>
        <w:pStyle w:val="FirstParagraph"/>
      </w:pPr>
      <w:r>
        <w:rPr>
          <w:b/>
          <w:bCs/>
        </w:rPr>
        <w:t xml:space="preserve">Current Status (Dec 2025):</w:t>
      </w:r>
      <w:r>
        <w:t xml:space="preserve"> </w:t>
      </w:r>
      <w:r>
        <w:t xml:space="preserve">- 11 EC2 instances</w:t>
      </w:r>
      <w:r>
        <w:t xml:space="preserve"> </w:t>
      </w:r>
      <w:r>
        <w:t xml:space="preserve">- Security groups audited (20 with 0.0.0.0/0 rules identified)</w:t>
      </w:r>
    </w:p>
    <w:bookmarkEnd w:id="25"/>
    <w:bookmarkStart w:id="26" w:name="s3-buckets"/>
    <w:p>
      <w:pPr>
        <w:pStyle w:val="Heading3"/>
      </w:pPr>
      <w:r>
        <w:t xml:space="preserve">7.2 S3 Buckets</w:t>
      </w:r>
    </w:p>
    <w:p>
      <w:pPr>
        <w:pStyle w:val="Compact"/>
        <w:numPr>
          <w:ilvl w:val="0"/>
          <w:numId w:val="1011"/>
        </w:numPr>
      </w:pPr>
      <w:r>
        <w:t xml:space="preserve">S3 public access settings reviewed</w:t>
      </w:r>
    </w:p>
    <w:p>
      <w:pPr>
        <w:pStyle w:val="Compact"/>
        <w:numPr>
          <w:ilvl w:val="0"/>
          <w:numId w:val="1011"/>
        </w:numPr>
      </w:pPr>
      <w:r>
        <w:t xml:space="preserve">Encryption verified</w:t>
      </w:r>
    </w:p>
    <w:p>
      <w:pPr>
        <w:pStyle w:val="Compact"/>
        <w:numPr>
          <w:ilvl w:val="0"/>
          <w:numId w:val="1011"/>
        </w:numPr>
      </w:pPr>
      <w:r>
        <w:t xml:space="preserve">Bucket policies audited</w:t>
      </w:r>
    </w:p>
    <w:p>
      <w:pPr>
        <w:pStyle w:val="FirstParagraph"/>
      </w:pPr>
      <w:r>
        <w:rPr>
          <w:b/>
          <w:bCs/>
        </w:rPr>
        <w:t xml:space="preserve">Current Status (Dec 2025):</w:t>
      </w:r>
      <w:r>
        <w:t xml:space="preserve"> </w:t>
      </w:r>
      <w:r>
        <w:t xml:space="preserve">- 54 S3 buckets audited</w:t>
      </w:r>
      <w:r>
        <w:t xml:space="preserve"> </w:t>
      </w:r>
      <w:r>
        <w:t xml:space="preserve">- No public access detected</w:t>
      </w:r>
    </w:p>
    <w:bookmarkEnd w:id="26"/>
    <w:bookmarkStart w:id="27" w:name="rds-databases"/>
    <w:p>
      <w:pPr>
        <w:pStyle w:val="Heading3"/>
      </w:pPr>
      <w:r>
        <w:t xml:space="preserve">7.3 RDS Databases</w:t>
      </w:r>
    </w:p>
    <w:p>
      <w:pPr>
        <w:pStyle w:val="Compact"/>
        <w:numPr>
          <w:ilvl w:val="0"/>
          <w:numId w:val="1012"/>
        </w:numPr>
      </w:pPr>
      <w:r>
        <w:t xml:space="preserve">RDS security group restrictions</w:t>
      </w:r>
    </w:p>
    <w:p>
      <w:pPr>
        <w:pStyle w:val="Compact"/>
        <w:numPr>
          <w:ilvl w:val="0"/>
          <w:numId w:val="1012"/>
        </w:numPr>
      </w:pPr>
      <w:r>
        <w:t xml:space="preserve">Encryption at rest verified</w:t>
      </w:r>
    </w:p>
    <w:p>
      <w:pPr>
        <w:pStyle w:val="Compact"/>
        <w:numPr>
          <w:ilvl w:val="0"/>
          <w:numId w:val="1012"/>
        </w:numPr>
      </w:pPr>
      <w:r>
        <w:t xml:space="preserve">Public accessibility checked</w:t>
      </w:r>
    </w:p>
    <w:p>
      <w:pPr>
        <w:pStyle w:val="FirstParagraph"/>
      </w:pPr>
      <w:r>
        <w:rPr>
          <w:b/>
          <w:bCs/>
        </w:rPr>
        <w:t xml:space="preserve">Current Status (Dec 2025):</w:t>
      </w:r>
      <w:r>
        <w:t xml:space="preserve"> </w:t>
      </w:r>
      <w:r>
        <w:t xml:space="preserve">- 4 RDS instances audited</w:t>
      </w:r>
      <w:r>
        <w:t xml:space="preserve"> </w:t>
      </w:r>
      <w:r>
        <w:t xml:space="preserve">- 2 publicly accessible (require review)</w:t>
      </w:r>
    </w:p>
    <w:bookmarkEnd w:id="27"/>
    <w:bookmarkStart w:id="28" w:name="container-images"/>
    <w:p>
      <w:pPr>
        <w:pStyle w:val="Heading3"/>
      </w:pPr>
      <w:r>
        <w:t xml:space="preserve">7.4 Container Images</w:t>
      </w:r>
    </w:p>
    <w:p>
      <w:pPr>
        <w:pStyle w:val="Compact"/>
        <w:numPr>
          <w:ilvl w:val="0"/>
          <w:numId w:val="1013"/>
        </w:numPr>
      </w:pPr>
      <w:r>
        <w:t xml:space="preserve">ECR image scanning enabled</w:t>
      </w:r>
    </w:p>
    <w:p>
      <w:pPr>
        <w:pStyle w:val="Compact"/>
        <w:numPr>
          <w:ilvl w:val="0"/>
          <w:numId w:val="1013"/>
        </w:numPr>
      </w:pPr>
      <w:r>
        <w:t xml:space="preserve">Base image updates tracked</w:t>
      </w:r>
    </w:p>
    <w:p>
      <w:pPr>
        <w:pStyle w:val="Compact"/>
        <w:numPr>
          <w:ilvl w:val="0"/>
          <w:numId w:val="1013"/>
        </w:numPr>
      </w:pPr>
      <w:r>
        <w:t xml:space="preserve">CI/CD security scanning</w:t>
      </w:r>
    </w:p>
    <w:bookmarkEnd w:id="28"/>
    <w:bookmarkEnd w:id="29"/>
    <w:bookmarkStart w:id="32" w:name="reporting"/>
    <w:p>
      <w:pPr>
        <w:pStyle w:val="Heading2"/>
      </w:pPr>
      <w:r>
        <w:t xml:space="preserve">8. Reporting</w:t>
      </w:r>
    </w:p>
    <w:bookmarkStart w:id="30" w:name="metrics"/>
    <w:p>
      <w:pPr>
        <w:pStyle w:val="Heading3"/>
      </w:pPr>
      <w:r>
        <w:t xml:space="preserve">8.1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Remediation Time</w:t>
            </w:r>
          </w:p>
        </w:tc>
        <w:tc>
          <w:tcPr/>
          <w:p>
            <w:pPr>
              <w:pStyle w:val="Compact"/>
            </w:pPr>
            <w:r>
              <w:t xml:space="preserve">&lt;24 hours</w:t>
            </w:r>
          </w:p>
        </w:tc>
        <w:tc>
          <w:tcPr/>
          <w:p>
            <w:pPr>
              <w:pStyle w:val="Compact"/>
            </w:pPr>
            <w:r>
              <w:t xml:space="preserve">Average days to 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Remediation Time</w:t>
            </w:r>
          </w:p>
        </w:tc>
        <w:tc>
          <w:tcPr/>
          <w:p>
            <w:pPr>
              <w:pStyle w:val="Compact"/>
            </w:pPr>
            <w:r>
              <w:t xml:space="preserve">&lt;7 days</w:t>
            </w:r>
          </w:p>
        </w:tc>
        <w:tc>
          <w:tcPr/>
          <w:p>
            <w:pPr>
              <w:pStyle w:val="Compact"/>
            </w:pPr>
            <w:r>
              <w:t xml:space="preserve">Average days to 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Vulnerability Count</w:t>
            </w:r>
          </w:p>
        </w:tc>
        <w:tc>
          <w:tcPr/>
          <w:p>
            <w:pPr>
              <w:pStyle w:val="Compact"/>
            </w:pPr>
            <w:r>
              <w:t xml:space="preserve">Decreasing trend</w:t>
            </w:r>
          </w:p>
        </w:tc>
        <w:tc>
          <w:tcPr/>
          <w:p>
            <w:pPr>
              <w:pStyle w:val="Compact"/>
            </w:pPr>
            <w:r>
              <w:t xml:space="preserve">Monthly 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Exception Count</w:t>
            </w:r>
          </w:p>
        </w:tc>
        <w:tc>
          <w:tcPr/>
          <w:p>
            <w:pPr>
              <w:pStyle w:val="Compact"/>
            </w:pPr>
            <w:r>
              <w:t xml:space="preserve">&lt;5</w:t>
            </w:r>
          </w:p>
        </w:tc>
        <w:tc>
          <w:tcPr/>
          <w:p>
            <w:pPr>
              <w:pStyle w:val="Compact"/>
            </w:pPr>
            <w:r>
              <w:t xml:space="preserve">Active exceptions</w:t>
            </w:r>
          </w:p>
        </w:tc>
      </w:tr>
    </w:tbl>
    <w:bookmarkEnd w:id="30"/>
    <w:bookmarkStart w:id="31" w:name="reports"/>
    <w:p>
      <w:pPr>
        <w:pStyle w:val="Heading3"/>
      </w:pPr>
      <w:r>
        <w:t xml:space="preserve">8.2 Reports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Weekly:</w:t>
      </w:r>
      <w:r>
        <w:t xml:space="preserve"> </w:t>
      </w:r>
      <w:r>
        <w:t xml:space="preserve">Open vulnerabilities by severity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Monthly:</w:t>
      </w:r>
      <w:r>
        <w:t xml:space="preserve"> </w:t>
      </w:r>
      <w:r>
        <w:t xml:space="preserve">Remediation metrics, exception status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Trend analysis, penetration test results</w:t>
      </w:r>
    </w:p>
    <w:bookmarkEnd w:id="31"/>
    <w:bookmarkEnd w:id="32"/>
    <w:bookmarkStart w:id="35" w:name="threat-intelligence"/>
    <w:p>
      <w:pPr>
        <w:pStyle w:val="Heading2"/>
      </w:pPr>
      <w:r>
        <w:t xml:space="preserve">9. Threat Intelligence</w:t>
      </w:r>
    </w:p>
    <w:bookmarkStart w:id="33" w:name="sources"/>
    <w:p>
      <w:pPr>
        <w:pStyle w:val="Heading3"/>
      </w:pPr>
      <w:r>
        <w:t xml:space="preserve">9.1 Sources</w:t>
      </w:r>
    </w:p>
    <w:p>
      <w:pPr>
        <w:pStyle w:val="Compact"/>
        <w:numPr>
          <w:ilvl w:val="0"/>
          <w:numId w:val="1015"/>
        </w:numPr>
      </w:pPr>
      <w:r>
        <w:t xml:space="preserve">AWS Security Bulletins</w:t>
      </w:r>
    </w:p>
    <w:p>
      <w:pPr>
        <w:pStyle w:val="Compact"/>
        <w:numPr>
          <w:ilvl w:val="0"/>
          <w:numId w:val="1015"/>
        </w:numPr>
      </w:pPr>
      <w:r>
        <w:t xml:space="preserve">NIST National Vulnerability Database (NVD)</w:t>
      </w:r>
    </w:p>
    <w:p>
      <w:pPr>
        <w:pStyle w:val="Compact"/>
        <w:numPr>
          <w:ilvl w:val="0"/>
          <w:numId w:val="1015"/>
        </w:numPr>
      </w:pPr>
      <w:r>
        <w:t xml:space="preserve">CISA Known Exploited Vulnerabilities (KEV)</w:t>
      </w:r>
    </w:p>
    <w:p>
      <w:pPr>
        <w:pStyle w:val="Compact"/>
        <w:numPr>
          <w:ilvl w:val="0"/>
          <w:numId w:val="1015"/>
        </w:numPr>
      </w:pPr>
      <w:r>
        <w:t xml:space="preserve">Vendor security advisories</w:t>
      </w:r>
    </w:p>
    <w:bookmarkEnd w:id="33"/>
    <w:bookmarkStart w:id="34" w:name="response-to-zero-day"/>
    <w:p>
      <w:pPr>
        <w:pStyle w:val="Heading3"/>
      </w:pPr>
      <w:r>
        <w:t xml:space="preserve">9.2 Response to Zero-Day</w:t>
      </w:r>
    </w:p>
    <w:p>
      <w:pPr>
        <w:pStyle w:val="FirstParagraph"/>
      </w:pPr>
      <w:r>
        <w:t xml:space="preserve">When zero-day vulnerability announced:</w:t>
      </w:r>
      <w:r>
        <w:t xml:space="preserve"> </w:t>
      </w:r>
      <w:r>
        <w:t xml:space="preserve">1. Assess applicability to EcoMetricx systems</w:t>
      </w:r>
      <w:r>
        <w:t xml:space="preserve"> </w:t>
      </w:r>
      <w:r>
        <w:t xml:space="preserve">2. Implement compensating controls immediately</w:t>
      </w:r>
      <w:r>
        <w:t xml:space="preserve"> </w:t>
      </w:r>
      <w:r>
        <w:t xml:space="preserve">3. Monitor for exploitation attempts</w:t>
      </w:r>
      <w:r>
        <w:t xml:space="preserve"> </w:t>
      </w:r>
      <w:r>
        <w:t xml:space="preserve">4. Apply patch when available</w:t>
      </w:r>
      <w:r>
        <w:t xml:space="preserve"> </w:t>
      </w:r>
      <w:r>
        <w:t xml:space="preserve">5. Document timeline and actions</w:t>
      </w:r>
    </w:p>
    <w:bookmarkEnd w:id="34"/>
    <w:bookmarkEnd w:id="35"/>
    <w:bookmarkStart w:id="39" w:name="responsibilities"/>
    <w:p>
      <w:pPr>
        <w:pStyle w:val="Heading2"/>
      </w:pPr>
      <w:r>
        <w:t xml:space="preserve">10. Responsibilities</w:t>
      </w:r>
    </w:p>
    <w:bookmarkStart w:id="36" w:name="infosec-team"/>
    <w:p>
      <w:pPr>
        <w:pStyle w:val="Heading3"/>
      </w:pPr>
      <w:r>
        <w:t xml:space="preserve">10.1 InfoSec Team</w:t>
      </w:r>
    </w:p>
    <w:p>
      <w:pPr>
        <w:pStyle w:val="Compact"/>
        <w:numPr>
          <w:ilvl w:val="0"/>
          <w:numId w:val="1016"/>
        </w:numPr>
      </w:pPr>
      <w:r>
        <w:t xml:space="preserve">Manage vulnerability scanning program</w:t>
      </w:r>
    </w:p>
    <w:p>
      <w:pPr>
        <w:pStyle w:val="Compact"/>
        <w:numPr>
          <w:ilvl w:val="0"/>
          <w:numId w:val="1016"/>
        </w:numPr>
      </w:pPr>
      <w:r>
        <w:t xml:space="preserve">Triage and prioritize vulnerabilities</w:t>
      </w:r>
    </w:p>
    <w:p>
      <w:pPr>
        <w:pStyle w:val="Compact"/>
        <w:numPr>
          <w:ilvl w:val="0"/>
          <w:numId w:val="1016"/>
        </w:numPr>
      </w:pPr>
      <w:r>
        <w:t xml:space="preserve">Track remediation progress</w:t>
      </w:r>
    </w:p>
    <w:p>
      <w:pPr>
        <w:pStyle w:val="Compact"/>
        <w:numPr>
          <w:ilvl w:val="0"/>
          <w:numId w:val="1016"/>
        </w:numPr>
      </w:pPr>
      <w:r>
        <w:t xml:space="preserve">Report metrics to leadership</w:t>
      </w:r>
    </w:p>
    <w:bookmarkEnd w:id="36"/>
    <w:bookmarkStart w:id="37" w:name="system-owners"/>
    <w:p>
      <w:pPr>
        <w:pStyle w:val="Heading3"/>
      </w:pPr>
      <w:r>
        <w:t xml:space="preserve">10.2 System Owners</w:t>
      </w:r>
    </w:p>
    <w:p>
      <w:pPr>
        <w:pStyle w:val="Compact"/>
        <w:numPr>
          <w:ilvl w:val="0"/>
          <w:numId w:val="1017"/>
        </w:numPr>
      </w:pPr>
      <w:r>
        <w:t xml:space="preserve">Remediate vulnerabilities within SLA</w:t>
      </w:r>
    </w:p>
    <w:p>
      <w:pPr>
        <w:pStyle w:val="Compact"/>
        <w:numPr>
          <w:ilvl w:val="0"/>
          <w:numId w:val="1017"/>
        </w:numPr>
      </w:pPr>
      <w:r>
        <w:t xml:space="preserve">Request exceptions when needed</w:t>
      </w:r>
    </w:p>
    <w:p>
      <w:pPr>
        <w:pStyle w:val="Compact"/>
        <w:numPr>
          <w:ilvl w:val="0"/>
          <w:numId w:val="1017"/>
        </w:numPr>
      </w:pPr>
      <w:r>
        <w:t xml:space="preserve">Verify remediation effectiveness</w:t>
      </w:r>
    </w:p>
    <w:bookmarkEnd w:id="37"/>
    <w:bookmarkStart w:id="38" w:name="development-teams"/>
    <w:p>
      <w:pPr>
        <w:pStyle w:val="Heading3"/>
      </w:pPr>
      <w:r>
        <w:t xml:space="preserve">10.3 Development Teams</w:t>
      </w:r>
    </w:p>
    <w:p>
      <w:pPr>
        <w:pStyle w:val="Compact"/>
        <w:numPr>
          <w:ilvl w:val="0"/>
          <w:numId w:val="1018"/>
        </w:numPr>
      </w:pPr>
      <w:r>
        <w:t xml:space="preserve">Address code vulnerabilities</w:t>
      </w:r>
    </w:p>
    <w:p>
      <w:pPr>
        <w:pStyle w:val="Compact"/>
        <w:numPr>
          <w:ilvl w:val="0"/>
          <w:numId w:val="1018"/>
        </w:numPr>
      </w:pPr>
      <w:r>
        <w:t xml:space="preserve">Update dependencies</w:t>
      </w:r>
    </w:p>
    <w:p>
      <w:pPr>
        <w:pStyle w:val="Compact"/>
        <w:numPr>
          <w:ilvl w:val="0"/>
          <w:numId w:val="1018"/>
        </w:numPr>
      </w:pPr>
      <w:r>
        <w:t xml:space="preserve">Implement secure coding practices</w:t>
      </w:r>
    </w:p>
    <w:bookmarkEnd w:id="38"/>
    <w:bookmarkEnd w:id="39"/>
    <w:bookmarkStart w:id="40" w:name="related-policies"/>
    <w:p>
      <w:pPr>
        <w:pStyle w:val="Heading2"/>
      </w:pPr>
      <w:r>
        <w:t xml:space="preserve">11. Related Policies</w:t>
      </w:r>
    </w:p>
    <w:p>
      <w:pPr>
        <w:pStyle w:val="Compact"/>
        <w:numPr>
          <w:ilvl w:val="0"/>
          <w:numId w:val="1019"/>
        </w:numPr>
      </w:pPr>
      <w:r>
        <w:t xml:space="preserve">Information Security Policy</w:t>
      </w:r>
    </w:p>
    <w:p>
      <w:pPr>
        <w:pStyle w:val="Compact"/>
        <w:numPr>
          <w:ilvl w:val="0"/>
          <w:numId w:val="1019"/>
        </w:numPr>
      </w:pPr>
      <w:r>
        <w:t xml:space="preserve">Change Management Policy</w:t>
      </w:r>
    </w:p>
    <w:p>
      <w:pPr>
        <w:pStyle w:val="Compact"/>
        <w:numPr>
          <w:ilvl w:val="0"/>
          <w:numId w:val="1019"/>
        </w:numPr>
      </w:pPr>
      <w:r>
        <w:t xml:space="preserve">Incident Response Policy</w:t>
      </w:r>
    </w:p>
    <w:p>
      <w:pPr>
        <w:pStyle w:val="Compact"/>
        <w:numPr>
          <w:ilvl w:val="0"/>
          <w:numId w:val="1019"/>
        </w:numPr>
      </w:pPr>
      <w:r>
        <w:t xml:space="preserve">Access Control Policy</w:t>
      </w:r>
    </w:p>
    <w:bookmarkEnd w:id="40"/>
    <w:bookmarkStart w:id="41" w:name="compliance-mapping"/>
    <w:p>
      <w:pPr>
        <w:pStyle w:val="Heading2"/>
      </w:pPr>
      <w:r>
        <w:t xml:space="preserve">12. Compliance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</w:t>
            </w:r>
          </w:p>
        </w:tc>
        <w:tc>
          <w:tcPr/>
          <w:p>
            <w:pPr>
              <w:pStyle w:val="Compact"/>
            </w:pPr>
            <w:r>
              <w:t xml:space="preserve">CC7.1 (System Monitoring)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27001</w:t>
            </w:r>
          </w:p>
        </w:tc>
        <w:tc>
          <w:tcPr/>
          <w:p>
            <w:pPr>
              <w:pStyle w:val="Compact"/>
            </w:pPr>
            <w:r>
              <w:t xml:space="preserve">A.12.6 (Technical Vulnerability Management)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</w:t>
            </w:r>
          </w:p>
        </w:tc>
        <w:tc>
          <w:tcPr/>
          <w:p>
            <w:pPr>
              <w:pStyle w:val="Compact"/>
            </w:pPr>
            <w:r>
              <w:t xml:space="preserve">SI-2 (Flaw Remediation)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Control:</w:t>
      </w:r>
      <w:r>
        <w:t xml:space="preserve"> </w:t>
      </w:r>
      <w:r>
        <w:t xml:space="preserve">Version 1.0 | December 2025 | Next Review: December 2026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2025-12-05T23:38:35Z</dcterms:created>
  <dcterms:modified xsi:type="dcterms:W3CDTF">2025-12-05T23:38:35Z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