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system-description-document"/>
    <w:p>
      <w:pPr>
        <w:pStyle w:val="Heading1"/>
      </w:pPr>
      <w:r>
        <w:t xml:space="preserve">System Description Document</w: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December 5, 2025</w:t>
      </w:r>
      <w:r>
        <w:br/>
      </w:r>
      <w:r>
        <w:rPr>
          <w:b/>
          <w:bCs/>
        </w:rPr>
        <w:t xml:space="preserve">Owner:</w:t>
      </w:r>
      <w:r>
        <w:t xml:space="preserve"> </w:t>
      </w:r>
      <w:r>
        <w:t xml:space="preserve">EcoMetricx InfoSec Team (Andrei Ionete - andrei@ecometricx.com)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SOC 2 Type II Audit Readiness</w:t>
      </w:r>
    </w:p>
    <w:p>
      <w:r>
        <w:pict>
          <v:rect style="width:0;height:1.5pt" o:hralign="center" o:hrstd="t" o:hr="t"/>
        </w:pict>
      </w:r>
    </w:p>
    <w:bookmarkStart w:id="12" w:name="company-overview"/>
    <w:p>
      <w:pPr>
        <w:pStyle w:val="Heading2"/>
      </w:pPr>
      <w:r>
        <w:t xml:space="preserve">1. Company Overview</w:t>
      </w:r>
    </w:p>
    <w:bookmarkStart w:id="9" w:name="organization"/>
    <w:p>
      <w:pPr>
        <w:pStyle w:val="Heading3"/>
      </w:pPr>
      <w:r>
        <w:t xml:space="preserve">1.1 Organization</w:t>
      </w:r>
    </w:p>
    <w:p>
      <w:pPr>
        <w:pStyle w:val="FirstParagraph"/>
      </w:pPr>
      <w:r>
        <w:rPr>
          <w:b/>
          <w:bCs/>
        </w:rPr>
        <w:t xml:space="preserve">Company Name:</w:t>
      </w:r>
      <w:r>
        <w:t xml:space="preserve"> </w:t>
      </w:r>
      <w:r>
        <w:t xml:space="preserve">EcoMetricx LLC</w:t>
      </w:r>
      <w:r>
        <w:br/>
      </w:r>
      <w:r>
        <w:rPr>
          <w:b/>
          <w:bCs/>
        </w:rPr>
        <w:t xml:space="preserve">Industry:</w:t>
      </w:r>
      <w:r>
        <w:t xml:space="preserve"> </w:t>
      </w:r>
      <w:r>
        <w:t xml:space="preserve">Energy Analytics and Data Science</w:t>
      </w:r>
      <w:r>
        <w:br/>
      </w:r>
      <w:r>
        <w:rPr>
          <w:b/>
          <w:bCs/>
        </w:rPr>
        <w:t xml:space="preserve">Headquarters:</w:t>
      </w:r>
      <w:r>
        <w:t xml:space="preserve"> </w:t>
      </w:r>
      <w:r>
        <w:t xml:space="preserve">Remote (distributed workforce)</w:t>
      </w:r>
      <w:r>
        <w:br/>
      </w:r>
      <w:r>
        <w:rPr>
          <w:b/>
          <w:bCs/>
        </w:rPr>
        <w:t xml:space="preserve">Primary Contact:</w:t>
      </w:r>
      <w:r>
        <w:t xml:space="preserve"> </w:t>
      </w:r>
      <w:r>
        <w:t xml:space="preserve">security@ecometricx.com</w:t>
      </w:r>
    </w:p>
    <w:bookmarkEnd w:id="9"/>
    <w:bookmarkStart w:id="10" w:name="services-provided"/>
    <w:p>
      <w:pPr>
        <w:pStyle w:val="Heading3"/>
      </w:pPr>
      <w:r>
        <w:t xml:space="preserve">1.2 Services Provided</w:t>
      </w:r>
    </w:p>
    <w:p>
      <w:pPr>
        <w:pStyle w:val="FirstParagraph"/>
      </w:pPr>
      <w:r>
        <w:t xml:space="preserve">EcoMetricx provides energy analytics and data science services including:</w:t>
      </w:r>
      <w:r>
        <w:t xml:space="preserve"> </w:t>
      </w:r>
      <w:r>
        <w:t xml:space="preserve">- Energy consumption analysis</w:t>
      </w:r>
      <w:r>
        <w:t xml:space="preserve"> </w:t>
      </w:r>
      <w:r>
        <w:t xml:space="preserve">- Predictive analytics</w:t>
      </w:r>
      <w:r>
        <w:t xml:space="preserve"> </w:t>
      </w:r>
      <w:r>
        <w:t xml:space="preserve">- Machine learning models for energy optimization</w:t>
      </w:r>
      <w:r>
        <w:t xml:space="preserve"> </w:t>
      </w:r>
      <w:r>
        <w:t xml:space="preserve">- Data processing and transformation</w:t>
      </w:r>
    </w:p>
    <w:bookmarkEnd w:id="10"/>
    <w:bookmarkStart w:id="11" w:name="organizational-structure"/>
    <w:p>
      <w:pPr>
        <w:pStyle w:val="Heading3"/>
      </w:pPr>
      <w:r>
        <w:t xml:space="preserve">1.3 Organizational Structure</w:t>
      </w:r>
    </w:p>
    <w:p>
      <w:pPr>
        <w:pStyle w:val="FirstParagraph"/>
      </w:pPr>
      <w:r>
        <w:t xml:space="preserve">EcoMetricx operates as a fully remote company with:</w:t>
      </w:r>
      <w:r>
        <w:t xml:space="preserve"> </w:t>
      </w:r>
      <w:r>
        <w:t xml:space="preserve">- No physical headquarters</w:t>
      </w:r>
      <w:r>
        <w:t xml:space="preserve"> </w:t>
      </w:r>
      <w:r>
        <w:t xml:space="preserve">- Distributed workforce</w:t>
      </w:r>
      <w:r>
        <w:t xml:space="preserve"> </w:t>
      </w:r>
      <w:r>
        <w:t xml:space="preserve">- Cloud-based infrastructure (AWS)</w:t>
      </w:r>
      <w:r>
        <w:t xml:space="preserve"> </w:t>
      </w:r>
      <w:r>
        <w:t xml:space="preserve">- Microsoft 365 as primary identity provider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infrastructure-description"/>
    <w:p>
      <w:pPr>
        <w:pStyle w:val="Heading2"/>
      </w:pPr>
      <w:r>
        <w:t xml:space="preserve">2. Infrastructure Description</w:t>
      </w:r>
    </w:p>
    <w:bookmarkStart w:id="13" w:name="cloud-platform"/>
    <w:p>
      <w:pPr>
        <w:pStyle w:val="Heading3"/>
      </w:pPr>
      <w:r>
        <w:t xml:space="preserve">2.1 Cloud Platform</w:t>
      </w:r>
    </w:p>
    <w:p>
      <w:pPr>
        <w:pStyle w:val="FirstParagraph"/>
      </w:pPr>
      <w:r>
        <w:rPr>
          <w:b/>
          <w:bCs/>
        </w:rPr>
        <w:t xml:space="preserve">Primary Cloud Provider:</w:t>
      </w:r>
      <w:r>
        <w:t xml:space="preserve"> </w:t>
      </w:r>
      <w:r>
        <w:t xml:space="preserve">Amazon Web Services (AWS)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Account ID:</w:t>
      </w:r>
      <w:r>
        <w:t xml:space="preserve"> </w:t>
      </w:r>
      <w:r>
        <w:t xml:space="preserve">302146782327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Primary Region:</w:t>
      </w:r>
      <w:r>
        <w:t xml:space="preserve"> </w:t>
      </w:r>
      <w:r>
        <w:t xml:space="preserve">us-east-1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Multi-Region:</w:t>
      </w:r>
      <w:r>
        <w:t xml:space="preserve"> </w:t>
      </w:r>
      <w:r>
        <w:t xml:space="preserve">Yes</w:t>
      </w:r>
    </w:p>
    <w:bookmarkEnd w:id="13"/>
    <w:bookmarkStart w:id="14" w:name="aws-services-in-scope"/>
    <w:p>
      <w:pPr>
        <w:pStyle w:val="Heading3"/>
      </w:pPr>
      <w:r>
        <w:t xml:space="preserve">2.2 AWS Services in Scope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Data Classification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EC2</w:t>
            </w:r>
          </w:p>
        </w:tc>
        <w:tc>
          <w:tcPr/>
          <w:p>
            <w:pPr>
              <w:pStyle w:val="Compact"/>
            </w:pPr>
            <w:r>
              <w:t xml:space="preserve">Compute instances (11)</w:t>
            </w:r>
          </w:p>
        </w:tc>
        <w:tc>
          <w:tcPr/>
          <w:p>
            <w:pPr>
              <w:pStyle w:val="Compact"/>
            </w:pPr>
            <w:r>
              <w:t xml:space="preserve">Internal/Confidential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Object storage (54 buckets)</w:t>
            </w:r>
          </w:p>
        </w:tc>
        <w:tc>
          <w:tcPr/>
          <w:p>
            <w:pPr>
              <w:pStyle w:val="Compact"/>
            </w:pPr>
            <w:r>
              <w:t xml:space="preserve">All levels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RDS</w:t>
            </w:r>
          </w:p>
        </w:tc>
        <w:tc>
          <w:tcPr/>
          <w:p>
            <w:pPr>
              <w:pStyle w:val="Compact"/>
            </w:pPr>
            <w:r>
              <w:t xml:space="preserve">Managed databases (4)</w:t>
            </w:r>
          </w:p>
        </w:tc>
        <w:tc>
          <w:tcPr/>
          <w:p>
            <w:pPr>
              <w:pStyle w:val="Compact"/>
            </w:pPr>
            <w:r>
              <w:t xml:space="preserve">Confidential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Lambda</w:t>
            </w:r>
          </w:p>
        </w:tc>
        <w:tc>
          <w:tcPr/>
          <w:p>
            <w:pPr>
              <w:pStyle w:val="Compact"/>
            </w:pPr>
            <w:r>
              <w:t xml:space="preserve">Serverless compute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CloudFormation</w:t>
            </w:r>
          </w:p>
        </w:tc>
        <w:tc>
          <w:tcPr/>
          <w:p>
            <w:pPr>
              <w:pStyle w:val="Compact"/>
            </w:pPr>
            <w:r>
              <w:t xml:space="preserve">Infrastructure as code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CloudWatch</w:t>
            </w:r>
          </w:p>
        </w:tc>
        <w:tc>
          <w:tcPr/>
          <w:p>
            <w:pPr>
              <w:pStyle w:val="Compact"/>
            </w:pPr>
            <w:r>
              <w:t xml:space="preserve">Monitoring and logging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CloudTrail</w:t>
            </w:r>
          </w:p>
        </w:tc>
        <w:tc>
          <w:tcPr/>
          <w:p>
            <w:pPr>
              <w:pStyle w:val="Compact"/>
            </w:pPr>
            <w:r>
              <w:t xml:space="preserve">API audit logging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IAM</w:t>
            </w:r>
          </w:p>
        </w:tc>
        <w:tc>
          <w:tcPr/>
          <w:p>
            <w:pPr>
              <w:pStyle w:val="Compact"/>
            </w:pPr>
            <w:r>
              <w:t xml:space="preserve">Identity and access management</w:t>
            </w:r>
          </w:p>
        </w:tc>
        <w:tc>
          <w:tcPr/>
          <w:p>
            <w:pPr>
              <w:pStyle w:val="Compact"/>
            </w:pPr>
            <w:r>
              <w:t xml:space="preserve">Restricted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Amplify</w:t>
            </w:r>
          </w:p>
        </w:tc>
        <w:tc>
          <w:tcPr/>
          <w:p>
            <w:pPr>
              <w:pStyle w:val="Compact"/>
            </w:pPr>
            <w:r>
              <w:t xml:space="preserve">Application hosting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SageMaker</w:t>
            </w:r>
          </w:p>
        </w:tc>
        <w:tc>
          <w:tcPr/>
          <w:p>
            <w:pPr>
              <w:pStyle w:val="Compact"/>
            </w:pPr>
            <w:r>
              <w:t xml:space="preserve">Machine learning</w:t>
            </w:r>
          </w:p>
        </w:tc>
        <w:tc>
          <w:tcPr/>
          <w:p>
            <w:pPr>
              <w:pStyle w:val="Compact"/>
            </w:pPr>
            <w:r>
              <w:t xml:space="preserve">Confidential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ECS</w:t>
            </w:r>
          </w:p>
        </w:tc>
        <w:tc>
          <w:tcPr/>
          <w:p>
            <w:pPr>
              <w:pStyle w:val="Compact"/>
            </w:pPr>
            <w:r>
              <w:t xml:space="preserve">Container orchestration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Glue</w:t>
            </w:r>
          </w:p>
        </w:tc>
        <w:tc>
          <w:tcPr/>
          <w:p>
            <w:pPr>
              <w:pStyle w:val="Compact"/>
            </w:pPr>
            <w:r>
              <w:t xml:space="preserve">ETL services</w:t>
            </w:r>
          </w:p>
        </w:tc>
        <w:tc>
          <w:tcPr/>
          <w:p>
            <w:pPr>
              <w:pStyle w:val="Compact"/>
            </w:pPr>
            <w:r>
              <w:t xml:space="preserve">Confidential</w:t>
            </w:r>
          </w:p>
        </w:tc>
      </w:tr>
    </w:tbl>
    <w:bookmarkEnd w:id="14"/>
    <w:bookmarkStart w:id="15" w:name="supporting-infrastructure"/>
    <w:p>
      <w:pPr>
        <w:pStyle w:val="Heading3"/>
      </w:pPr>
      <w:r>
        <w:t xml:space="preserve">2.3 Supporting Infrastructure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545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365</w:t>
            </w:r>
          </w:p>
        </w:tc>
        <w:tc>
          <w:tcPr/>
          <w:p>
            <w:pPr>
              <w:pStyle w:val="Compact"/>
            </w:pPr>
            <w:r>
              <w:t xml:space="preserve">Identity, Email, Collaboration</w:t>
            </w:r>
          </w:p>
        </w:tc>
        <w:tc>
          <w:tcPr/>
          <w:p>
            <w:pPr>
              <w:pStyle w:val="Compact"/>
            </w:pPr>
            <w:r>
              <w:t xml:space="preserve">Primary identity provider, MFA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Source Code Management</w:t>
            </w:r>
          </w:p>
        </w:tc>
        <w:tc>
          <w:tcPr/>
          <w:p>
            <w:pPr>
              <w:pStyle w:val="Compact"/>
            </w:pPr>
            <w:r>
              <w:t xml:space="preserve">Version control, CI/CD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Atlassian Confluence</w:t>
            </w:r>
          </w:p>
        </w:tc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Knowledge base, policies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Slack</w:t>
            </w:r>
          </w:p>
        </w:tc>
        <w:tc>
          <w:tcPr/>
          <w:p>
            <w:pPr>
              <w:pStyle w:val="Compact"/>
            </w:pPr>
            <w:r>
              <w:t xml:space="preserve">Communication</w:t>
            </w:r>
          </w:p>
        </w:tc>
        <w:tc>
          <w:tcPr/>
          <w:p>
            <w:pPr>
              <w:pStyle w:val="Compact"/>
            </w:pPr>
            <w:r>
              <w:t xml:space="preserve">Team collaboration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0" w:name="data-flow-overview"/>
    <w:p>
      <w:pPr>
        <w:pStyle w:val="Heading2"/>
      </w:pPr>
      <w:r>
        <w:t xml:space="preserve">3. Data Flow Overview</w:t>
      </w:r>
    </w:p>
    <w:bookmarkStart w:id="17" w:name="authentication-flow"/>
    <w:p>
      <w:pPr>
        <w:pStyle w:val="Heading3"/>
      </w:pPr>
      <w:r>
        <w:t xml:space="preserve">3.1 Authentication Flow</w:t>
      </w:r>
    </w:p>
    <w:p>
      <w:pPr>
        <w:pStyle w:val="SourceCode"/>
      </w:pPr>
      <w:r>
        <w:rPr>
          <w:rStyle w:val="VerbatimChar"/>
        </w:rPr>
        <w:t xml:space="preserve">User → Microsoft 365 (MFA) → AWS Console/Applications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 Microsoft Authenticator (2FA)</w:t>
      </w:r>
    </w:p>
    <w:bookmarkEnd w:id="17"/>
    <w:bookmarkStart w:id="18" w:name="data-processing-flow"/>
    <w:p>
      <w:pPr>
        <w:pStyle w:val="Heading3"/>
      </w:pPr>
      <w:r>
        <w:t xml:space="preserve">3.2 Data Processing Flow</w:t>
      </w:r>
    </w:p>
    <w:p>
      <w:pPr>
        <w:pStyle w:val="SourceCode"/>
      </w:pPr>
      <w:r>
        <w:rPr>
          <w:rStyle w:val="VerbatimChar"/>
        </w:rPr>
        <w:t xml:space="preserve">Data Sources (APIs, Files)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 S3 (Raw Data Layer)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 Glue ETL / Lambda (Processing)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 RDS/S3 (Curated Data)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 SageMaker (ML Models)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 Applications (Amplify, EC2)</w:t>
      </w:r>
    </w:p>
    <w:bookmarkEnd w:id="18"/>
    <w:bookmarkStart w:id="19" w:name="critical-dependencies"/>
    <w:p>
      <w:pPr>
        <w:pStyle w:val="Heading3"/>
      </w:pPr>
      <w:r>
        <w:t xml:space="preserve">3.3 Critical Dependencies</w:t>
      </w:r>
    </w:p>
    <w:p>
      <w:pPr>
        <w:pStyle w:val="FirstParagraph"/>
      </w:pPr>
      <w:r>
        <w:t xml:space="preserve">Per Domain Services BIA (October 2025):</w:t>
      </w:r>
      <w:r>
        <w:t xml:space="preserve"> </w:t>
      </w:r>
      <w:r>
        <w:t xml:space="preserve">- Microsoft 365 is the single point of failure for authentication</w:t>
      </w:r>
      <w:r>
        <w:t xml:space="preserve"> </w:t>
      </w:r>
      <w:r>
        <w:t xml:space="preserve">- All business systems depend on Microsoft 365 SSO</w:t>
      </w:r>
      <w:r>
        <w:t xml:space="preserve"> </w:t>
      </w:r>
      <w:r>
        <w:t xml:space="preserve">- RTO: 1 hour (minimum communications), 8 hours (baseline operations)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people-and-roles"/>
    <w:p>
      <w:pPr>
        <w:pStyle w:val="Heading2"/>
      </w:pPr>
      <w:r>
        <w:t xml:space="preserve">4. People and Roles</w:t>
      </w:r>
    </w:p>
    <w:bookmarkStart w:id="21" w:name="key-personnel"/>
    <w:p>
      <w:pPr>
        <w:pStyle w:val="Heading3"/>
      </w:pPr>
      <w:r>
        <w:t xml:space="preserve">4.1 Key Personnel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InfoSec Team Lead</w:t>
            </w:r>
          </w:p>
        </w:tc>
        <w:tc>
          <w:tcPr/>
          <w:p>
            <w:pPr>
              <w:pStyle w:val="Compact"/>
            </w:pPr>
            <w:r>
              <w:t xml:space="preserve">Andrei Ionete</w:t>
            </w:r>
          </w:p>
        </w:tc>
        <w:tc>
          <w:tcPr/>
          <w:p>
            <w:pPr>
              <w:pStyle w:val="Compact"/>
            </w:pPr>
            <w:r>
              <w:t xml:space="preserve">andrei@ecometricx.com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Tagging Standards Owner</w:t>
            </w:r>
          </w:p>
        </w:tc>
        <w:tc>
          <w:tcPr/>
          <w:p>
            <w:pPr>
              <w:pStyle w:val="Compact"/>
            </w:pPr>
            <w:r>
              <w:t xml:space="preserve">Conrad Jahn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AWS Administrator</w:t>
            </w:r>
          </w:p>
        </w:tc>
        <w:tc>
          <w:tcPr/>
          <w:p>
            <w:pPr>
              <w:pStyle w:val="Compact"/>
            </w:pPr>
            <w:r>
              <w:t xml:space="preserve">Alex Ledbetter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21"/>
    <w:bookmarkStart w:id="22" w:name="iam-user-summary"/>
    <w:p>
      <w:pPr>
        <w:pStyle w:val="Heading3"/>
      </w:pPr>
      <w:r>
        <w:t xml:space="preserve">4.2 IAM User Summary</w:t>
      </w:r>
    </w:p>
    <w:p>
      <w:pPr>
        <w:pStyle w:val="FirstParagraph"/>
      </w:pPr>
      <w:r>
        <w:t xml:space="preserve">Per AWS Access Control Matrix: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Individual Users:</w:t>
      </w:r>
      <w:r>
        <w:t xml:space="preserve"> </w:t>
      </w:r>
      <w:r>
        <w:t xml:space="preserve">22 accounts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Service Accounts:</w:t>
      </w:r>
      <w:r>
        <w:t xml:space="preserve"> </w:t>
      </w:r>
      <w:r>
        <w:t xml:space="preserve">8 accounts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Application Accounts:</w:t>
      </w:r>
      <w:r>
        <w:t xml:space="preserve"> </w:t>
      </w:r>
      <w:r>
        <w:t xml:space="preserve">4 accounts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Total:</w:t>
      </w:r>
      <w:r>
        <w:t xml:space="preserve"> </w:t>
      </w:r>
      <w:r>
        <w:t xml:space="preserve">34 IAM users</w:t>
      </w:r>
    </w:p>
    <w:bookmarkEnd w:id="22"/>
    <w:bookmarkStart w:id="23" w:name="access-control"/>
    <w:p>
      <w:pPr>
        <w:pStyle w:val="Heading3"/>
      </w:pPr>
      <w:r>
        <w:t xml:space="preserve">4.3 Access Control</w:t>
      </w:r>
    </w:p>
    <w:p>
      <w:pPr>
        <w:pStyle w:val="Compact"/>
        <w:numPr>
          <w:ilvl w:val="0"/>
          <w:numId w:val="1001"/>
        </w:numPr>
      </w:pPr>
      <w:r>
        <w:t xml:space="preserve">Multi-factor authentication required (Microsoft Authenticator)</w:t>
      </w:r>
    </w:p>
    <w:p>
      <w:pPr>
        <w:pStyle w:val="Compact"/>
        <w:numPr>
          <w:ilvl w:val="0"/>
          <w:numId w:val="1001"/>
        </w:numPr>
      </w:pPr>
      <w:r>
        <w:t xml:space="preserve">Role-based access control (RBAC)</w:t>
      </w:r>
    </w:p>
    <w:p>
      <w:pPr>
        <w:pStyle w:val="Compact"/>
        <w:numPr>
          <w:ilvl w:val="0"/>
          <w:numId w:val="1001"/>
        </w:numPr>
      </w:pPr>
      <w:r>
        <w:t xml:space="preserve">Quarterly access reviews</w:t>
      </w:r>
    </w:p>
    <w:p>
      <w:pPr>
        <w:pStyle w:val="Compact"/>
        <w:numPr>
          <w:ilvl w:val="0"/>
          <w:numId w:val="1001"/>
        </w:numPr>
      </w:pPr>
      <w:r>
        <w:t xml:space="preserve">Least privilege principle applied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policies-and-procedures"/>
    <w:p>
      <w:pPr>
        <w:pStyle w:val="Heading2"/>
      </w:pPr>
      <w:r>
        <w:t xml:space="preserve">5. Policies and Procedures</w:t>
      </w:r>
    </w:p>
    <w:bookmarkStart w:id="25" w:name="policies-in-place"/>
    <w:p>
      <w:pPr>
        <w:pStyle w:val="Heading3"/>
      </w:pPr>
      <w:r>
        <w:t xml:space="preserve">5.1 Policies in Place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Last Updated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Information Security Policy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December 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Control Policy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December 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Classification &amp; Handling Policy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December 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Acceptable Use Policy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October 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Acceptable Encryption Standard Policy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April 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Privacy Management Policy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April 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 Management Policy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December 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Management Policy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December 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 Response Policy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December 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Logging and Monitoring Policy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December 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Processing Integrity Policy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December 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Vulnerability Management Policy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December 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 Desk/Clear Screen Policy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December 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Privacy Policy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December 2025</w:t>
            </w:r>
          </w:p>
        </w:tc>
      </w:tr>
    </w:tbl>
    <w:bookmarkEnd w:id="25"/>
    <w:bookmarkStart w:id="26" w:name="procedures-in-place"/>
    <w:p>
      <w:pPr>
        <w:pStyle w:val="Heading3"/>
      </w:pPr>
      <w:r>
        <w:t xml:space="preserve">5.2 Procedures in Place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62"/>
        <w:gridCol w:w="2096"/>
        <w:gridCol w:w="32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Procedure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Last Updated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 Operating Procedure - Documentation Review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December 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Quality Assurance Procedures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December 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 Assessment Questionnaire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December 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Offboarding Security Checklist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December 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 Check Procedures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December 2025</w:t>
            </w:r>
          </w:p>
        </w:tc>
      </w:tr>
    </w:tbl>
    <w:bookmarkEnd w:id="26"/>
    <w:bookmarkStart w:id="27" w:name="plans-in-place"/>
    <w:p>
      <w:pPr>
        <w:pStyle w:val="Heading3"/>
      </w:pPr>
      <w:r>
        <w:t xml:space="preserve">5.3 Plans in Place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Last Updated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Continuity Plan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December 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Plan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December 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Impact Analysis (Microsoft 365)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October 2025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5" w:name="security-controls-summary"/>
    <w:p>
      <w:pPr>
        <w:pStyle w:val="Heading2"/>
      </w:pPr>
      <w:r>
        <w:t xml:space="preserve">6. Security Controls Summary</w:t>
      </w:r>
    </w:p>
    <w:bookmarkStart w:id="29" w:name="access-control-cc6.2"/>
    <w:p>
      <w:pPr>
        <w:pStyle w:val="Heading3"/>
      </w:pPr>
      <w:r>
        <w:t xml:space="preserve">6.1 Access Control (CC6.2)</w:t>
      </w:r>
    </w:p>
    <w:p>
      <w:pPr>
        <w:pStyle w:val="Compact"/>
        <w:numPr>
          <w:ilvl w:val="0"/>
          <w:numId w:val="1002"/>
        </w:numPr>
      </w:pPr>
      <w:r>
        <w:t xml:space="preserve">IAM policies enforce access controls</w:t>
      </w:r>
    </w:p>
    <w:p>
      <w:pPr>
        <w:pStyle w:val="Compact"/>
        <w:numPr>
          <w:ilvl w:val="0"/>
          <w:numId w:val="1002"/>
        </w:numPr>
      </w:pPr>
      <w:r>
        <w:t xml:space="preserve">MFA required for all users</w:t>
      </w:r>
    </w:p>
    <w:p>
      <w:pPr>
        <w:pStyle w:val="Compact"/>
        <w:numPr>
          <w:ilvl w:val="0"/>
          <w:numId w:val="1002"/>
        </w:numPr>
      </w:pPr>
      <w:r>
        <w:t xml:space="preserve">Quarterly access reviews</w:t>
      </w:r>
    </w:p>
    <w:p>
      <w:pPr>
        <w:pStyle w:val="Compact"/>
        <w:numPr>
          <w:ilvl w:val="0"/>
          <w:numId w:val="1002"/>
        </w:numPr>
      </w:pPr>
      <w:r>
        <w:t xml:space="preserve">Immediate revocation upon termination</w:t>
      </w:r>
    </w:p>
    <w:bookmarkEnd w:id="29"/>
    <w:bookmarkStart w:id="30" w:name="change-management-cc6.7"/>
    <w:p>
      <w:pPr>
        <w:pStyle w:val="Heading3"/>
      </w:pPr>
      <w:r>
        <w:t xml:space="preserve">6.2 Change Management (CC6.7)</w:t>
      </w:r>
    </w:p>
    <w:p>
      <w:pPr>
        <w:pStyle w:val="Compact"/>
        <w:numPr>
          <w:ilvl w:val="0"/>
          <w:numId w:val="1003"/>
        </w:numPr>
      </w:pPr>
      <w:r>
        <w:t xml:space="preserve">Infrastructure as code (CloudFormation)</w:t>
      </w:r>
    </w:p>
    <w:p>
      <w:pPr>
        <w:pStyle w:val="Compact"/>
        <w:numPr>
          <w:ilvl w:val="0"/>
          <w:numId w:val="1003"/>
        </w:numPr>
      </w:pPr>
      <w:r>
        <w:t xml:space="preserve">Version control (GitHub)</w:t>
      </w:r>
    </w:p>
    <w:p>
      <w:pPr>
        <w:pStyle w:val="Compact"/>
        <w:numPr>
          <w:ilvl w:val="0"/>
          <w:numId w:val="1003"/>
        </w:numPr>
      </w:pPr>
      <w:r>
        <w:t xml:space="preserve">Change approval workflows</w:t>
      </w:r>
    </w:p>
    <w:p>
      <w:pPr>
        <w:pStyle w:val="Compact"/>
        <w:numPr>
          <w:ilvl w:val="0"/>
          <w:numId w:val="1003"/>
        </w:numPr>
      </w:pPr>
      <w:r>
        <w:t xml:space="preserve">CloudTrail logging of all changes</w:t>
      </w:r>
    </w:p>
    <w:bookmarkEnd w:id="30"/>
    <w:bookmarkStart w:id="31" w:name="system-monitoring-cc7.1"/>
    <w:p>
      <w:pPr>
        <w:pStyle w:val="Heading3"/>
      </w:pPr>
      <w:r>
        <w:t xml:space="preserve">6.3 System Monitoring (CC7.1)</w:t>
      </w:r>
    </w:p>
    <w:p>
      <w:pPr>
        <w:pStyle w:val="Compact"/>
        <w:numPr>
          <w:ilvl w:val="0"/>
          <w:numId w:val="1004"/>
        </w:numPr>
      </w:pPr>
      <w:r>
        <w:t xml:space="preserve">CloudWatch alarms configured</w:t>
      </w:r>
    </w:p>
    <w:p>
      <w:pPr>
        <w:pStyle w:val="Compact"/>
        <w:numPr>
          <w:ilvl w:val="0"/>
          <w:numId w:val="1004"/>
        </w:numPr>
      </w:pPr>
      <w:r>
        <w:t xml:space="preserve">CloudTrail for API logging</w:t>
      </w:r>
    </w:p>
    <w:p>
      <w:pPr>
        <w:pStyle w:val="Compact"/>
        <w:numPr>
          <w:ilvl w:val="0"/>
          <w:numId w:val="1004"/>
        </w:numPr>
      </w:pPr>
      <w:r>
        <w:t xml:space="preserve">Log file validation enabled (December 2025)</w:t>
      </w:r>
    </w:p>
    <w:p>
      <w:pPr>
        <w:pStyle w:val="Compact"/>
        <w:numPr>
          <w:ilvl w:val="0"/>
          <w:numId w:val="1004"/>
        </w:numPr>
      </w:pPr>
      <w:r>
        <w:t xml:space="preserve">CloudWatch Logs for application logging</w:t>
      </w:r>
    </w:p>
    <w:bookmarkEnd w:id="31"/>
    <w:bookmarkStart w:id="32" w:name="incident-response-cc7.2"/>
    <w:p>
      <w:pPr>
        <w:pStyle w:val="Heading3"/>
      </w:pPr>
      <w:r>
        <w:t xml:space="preserve">6.4 Incident Response (CC7.2)</w:t>
      </w:r>
    </w:p>
    <w:p>
      <w:pPr>
        <w:pStyle w:val="Compact"/>
        <w:numPr>
          <w:ilvl w:val="0"/>
          <w:numId w:val="1005"/>
        </w:numPr>
      </w:pPr>
      <w:r>
        <w:t xml:space="preserve">Incident Response Policy in place</w:t>
      </w:r>
    </w:p>
    <w:p>
      <w:pPr>
        <w:pStyle w:val="Compact"/>
        <w:numPr>
          <w:ilvl w:val="0"/>
          <w:numId w:val="1005"/>
        </w:numPr>
      </w:pPr>
      <w:r>
        <w:t xml:space="preserve">AWS-specific incident procedures documented</w:t>
      </w:r>
    </w:p>
    <w:p>
      <w:pPr>
        <w:pStyle w:val="Compact"/>
        <w:numPr>
          <w:ilvl w:val="0"/>
          <w:numId w:val="1005"/>
        </w:numPr>
      </w:pPr>
      <w:r>
        <w:t xml:space="preserve">24-72 hour breach notification requirements</w:t>
      </w:r>
    </w:p>
    <w:bookmarkEnd w:id="32"/>
    <w:bookmarkStart w:id="33" w:name="system-backup-cc7.3"/>
    <w:p>
      <w:pPr>
        <w:pStyle w:val="Heading3"/>
      </w:pPr>
      <w:r>
        <w:t xml:space="preserve">6.5 System Backup (CC7.3)</w:t>
      </w:r>
    </w:p>
    <w:p>
      <w:pPr>
        <w:pStyle w:val="Compact"/>
        <w:numPr>
          <w:ilvl w:val="0"/>
          <w:numId w:val="1006"/>
        </w:numPr>
      </w:pPr>
      <w:r>
        <w:t xml:space="preserve">S3 versioning enabled</w:t>
      </w:r>
    </w:p>
    <w:p>
      <w:pPr>
        <w:pStyle w:val="Compact"/>
        <w:numPr>
          <w:ilvl w:val="0"/>
          <w:numId w:val="1006"/>
        </w:numPr>
      </w:pPr>
      <w:r>
        <w:t xml:space="preserve">RDS automated backups (1-7 days retention)</w:t>
      </w:r>
    </w:p>
    <w:p>
      <w:pPr>
        <w:pStyle w:val="Compact"/>
        <w:numPr>
          <w:ilvl w:val="0"/>
          <w:numId w:val="1006"/>
        </w:numPr>
      </w:pPr>
      <w:r>
        <w:t xml:space="preserve">AMI snapshots for EC2 instances</w:t>
      </w:r>
    </w:p>
    <w:bookmarkEnd w:id="33"/>
    <w:bookmarkStart w:id="34" w:name="encryption-cc6.6"/>
    <w:p>
      <w:pPr>
        <w:pStyle w:val="Heading3"/>
      </w:pPr>
      <w:r>
        <w:t xml:space="preserve">6.6 Encryption (CC6.6)</w:t>
      </w:r>
    </w:p>
    <w:p>
      <w:pPr>
        <w:pStyle w:val="Compact"/>
        <w:numPr>
          <w:ilvl w:val="0"/>
          <w:numId w:val="1007"/>
        </w:numPr>
      </w:pPr>
      <w:r>
        <w:t xml:space="preserve">S3: AES-256 encryption at rest</w:t>
      </w:r>
    </w:p>
    <w:p>
      <w:pPr>
        <w:pStyle w:val="Compact"/>
        <w:numPr>
          <w:ilvl w:val="0"/>
          <w:numId w:val="1007"/>
        </w:numPr>
      </w:pPr>
      <w:r>
        <w:t xml:space="preserve">RDS: Encryption at rest enabled</w:t>
      </w:r>
    </w:p>
    <w:p>
      <w:pPr>
        <w:pStyle w:val="Compact"/>
        <w:numPr>
          <w:ilvl w:val="0"/>
          <w:numId w:val="1007"/>
        </w:numPr>
      </w:pPr>
      <w:r>
        <w:t xml:space="preserve">Transit: TLS 1.2+ required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boundaries-and-exclusions"/>
    <w:p>
      <w:pPr>
        <w:pStyle w:val="Heading2"/>
      </w:pPr>
      <w:r>
        <w:t xml:space="preserve">7. Boundaries and Exclusions</w:t>
      </w:r>
    </w:p>
    <w:bookmarkStart w:id="36" w:name="in-scope"/>
    <w:p>
      <w:pPr>
        <w:pStyle w:val="Heading3"/>
      </w:pPr>
      <w:r>
        <w:t xml:space="preserve">7.1 In Scope</w:t>
      </w:r>
    </w:p>
    <w:p>
      <w:pPr>
        <w:pStyle w:val="Compact"/>
        <w:numPr>
          <w:ilvl w:val="0"/>
          <w:numId w:val="1008"/>
        </w:numPr>
      </w:pPr>
      <w:r>
        <w:t xml:space="preserve">EcoMetricx AWS account (302146782327)</w:t>
      </w:r>
    </w:p>
    <w:p>
      <w:pPr>
        <w:pStyle w:val="Compact"/>
        <w:numPr>
          <w:ilvl w:val="0"/>
          <w:numId w:val="1008"/>
        </w:numPr>
      </w:pPr>
      <w:r>
        <w:t xml:space="preserve">All production and development environments</w:t>
      </w:r>
    </w:p>
    <w:p>
      <w:pPr>
        <w:pStyle w:val="Compact"/>
        <w:numPr>
          <w:ilvl w:val="0"/>
          <w:numId w:val="1008"/>
        </w:numPr>
      </w:pPr>
      <w:r>
        <w:t xml:space="preserve">All services listed in Section 2.2</w:t>
      </w:r>
    </w:p>
    <w:p>
      <w:pPr>
        <w:pStyle w:val="Compact"/>
        <w:numPr>
          <w:ilvl w:val="0"/>
          <w:numId w:val="1008"/>
        </w:numPr>
      </w:pPr>
      <w:r>
        <w:t xml:space="preserve">All personnel with system access</w:t>
      </w:r>
    </w:p>
    <w:bookmarkEnd w:id="36"/>
    <w:bookmarkStart w:id="37" w:name="out-of-scope"/>
    <w:p>
      <w:pPr>
        <w:pStyle w:val="Heading3"/>
      </w:pPr>
      <w:r>
        <w:t xml:space="preserve">7.2 Out of Scope</w:t>
      </w:r>
    </w:p>
    <w:p>
      <w:pPr>
        <w:pStyle w:val="Compact"/>
        <w:numPr>
          <w:ilvl w:val="0"/>
          <w:numId w:val="1009"/>
        </w:numPr>
      </w:pPr>
      <w:r>
        <w:t xml:space="preserve">Client systems and infrastructure</w:t>
      </w:r>
    </w:p>
    <w:p>
      <w:pPr>
        <w:pStyle w:val="Compact"/>
        <w:numPr>
          <w:ilvl w:val="0"/>
          <w:numId w:val="1009"/>
        </w:numPr>
      </w:pPr>
      <w:r>
        <w:t xml:space="preserve">Third-party SaaS applications (managed by providers)</w:t>
      </w:r>
    </w:p>
    <w:p>
      <w:pPr>
        <w:pStyle w:val="Compact"/>
        <w:numPr>
          <w:ilvl w:val="0"/>
          <w:numId w:val="1009"/>
        </w:numPr>
      </w:pPr>
      <w:r>
        <w:t xml:space="preserve">Physical security (remote workforce, no data centers)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subservice-organizations"/>
    <w:p>
      <w:pPr>
        <w:pStyle w:val="Heading2"/>
      </w:pPr>
      <w:r>
        <w:t xml:space="preserve">8. Subservice Organizations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78"/>
        <w:gridCol w:w="1841"/>
        <w:gridCol w:w="34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Organization</w:t>
            </w:r>
          </w:p>
        </w:tc>
        <w:tc>
          <w:tcPr/>
          <w:p>
            <w:pPr>
              <w:pStyle w:val="Compact"/>
            </w:pPr>
            <w:r>
              <w:t xml:space="preserve">Services</w:t>
            </w:r>
          </w:p>
        </w:tc>
        <w:tc>
          <w:tcPr/>
          <w:p>
            <w:pPr>
              <w:pStyle w:val="Compact"/>
            </w:pPr>
            <w:r>
              <w:t xml:space="preserve">Controls Reliance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Amazon Web Services</w:t>
            </w:r>
          </w:p>
        </w:tc>
        <w:tc>
          <w:tcPr/>
          <w:p>
            <w:pPr>
              <w:pStyle w:val="Compact"/>
            </w:pPr>
            <w:r>
              <w:t xml:space="preserve">Cloud infrastructure</w:t>
            </w:r>
          </w:p>
        </w:tc>
        <w:tc>
          <w:tcPr/>
          <w:p>
            <w:pPr>
              <w:pStyle w:val="Compact"/>
            </w:pPr>
            <w:r>
              <w:t xml:space="preserve">SOC 2 Type II, ISO 27001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</w:t>
            </w:r>
          </w:p>
        </w:tc>
        <w:tc>
          <w:tcPr/>
          <w:p>
            <w:pPr>
              <w:pStyle w:val="Compact"/>
            </w:pPr>
            <w:r>
              <w:t xml:space="preserve">Identity, email</w:t>
            </w:r>
          </w:p>
        </w:tc>
        <w:tc>
          <w:tcPr/>
          <w:p>
            <w:pPr>
              <w:pStyle w:val="Compact"/>
            </w:pPr>
            <w:r>
              <w:t xml:space="preserve">SOC 2 Type II, ISO 27001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EcoMetricx relies on AWS and Microsoft for physical security controls and certain logical security controls as documented in their SOC 2 reports.</w:t>
      </w:r>
    </w:p>
    <w:p>
      <w:r>
        <w:pict>
          <v:rect style="width:0;height:1.5pt" o:hralign="center" o:hrstd="t" o:hr="t"/>
        </w:pict>
      </w:r>
    </w:p>
    <w:bookmarkEnd w:id="39"/>
    <w:bookmarkStart w:id="40" w:name="recent-changes"/>
    <w:p>
      <w:pPr>
        <w:pStyle w:val="Heading2"/>
      </w:pPr>
      <w:r>
        <w:t xml:space="preserve">9. Recent Changes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 2025</w:t>
            </w:r>
          </w:p>
        </w:tc>
        <w:tc>
          <w:tcPr/>
          <w:p>
            <w:pPr>
              <w:pStyle w:val="Compact"/>
            </w:pPr>
            <w:r>
              <w:t xml:space="preserve">CloudTrail log file validation enabled</w:t>
            </w:r>
          </w:p>
        </w:tc>
        <w:tc>
          <w:tcPr/>
          <w:p>
            <w:pPr>
              <w:pStyle w:val="Compact"/>
            </w:pPr>
            <w:r>
              <w:t xml:space="preserve">Improved audit evidence integrity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 2025</w:t>
            </w:r>
          </w:p>
        </w:tc>
        <w:tc>
          <w:tcPr/>
          <w:p>
            <w:pPr>
              <w:pStyle w:val="Compact"/>
            </w:pPr>
            <w:r>
              <w:t xml:space="preserve">Processing Integrity Policy created</w:t>
            </w:r>
          </w:p>
        </w:tc>
        <w:tc>
          <w:tcPr/>
          <w:p>
            <w:pPr>
              <w:pStyle w:val="Compact"/>
            </w:pPr>
            <w:r>
              <w:t xml:space="preserve">SOC 2 PI criteria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 2025</w:t>
            </w:r>
          </w:p>
        </w:tc>
        <w:tc>
          <w:tcPr/>
          <w:p>
            <w:pPr>
              <w:pStyle w:val="Compact"/>
            </w:pPr>
            <w:r>
              <w:t xml:space="preserve">Security audits completed (S3, EC2, RDS)</w:t>
            </w:r>
          </w:p>
        </w:tc>
        <w:tc>
          <w:tcPr/>
          <w:p>
            <w:pPr>
              <w:pStyle w:val="Compact"/>
            </w:pPr>
            <w:r>
              <w:t xml:space="preserve">Baseline documentation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Oct 2025</w:t>
            </w:r>
          </w:p>
        </w:tc>
        <w:tc>
          <w:tcPr/>
          <w:p>
            <w:pPr>
              <w:pStyle w:val="Compact"/>
            </w:pPr>
            <w:r>
              <w:t xml:space="preserve">Microsoft 365 BIA completed</w:t>
            </w:r>
          </w:p>
        </w:tc>
        <w:tc>
          <w:tcPr/>
          <w:p>
            <w:pPr>
              <w:pStyle w:val="Compact"/>
            </w:pPr>
            <w:r>
              <w:t xml:space="preserve">DR planning improved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contact-information"/>
    <w:p>
      <w:pPr>
        <w:pStyle w:val="Heading2"/>
      </w:pPr>
      <w:r>
        <w:t xml:space="preserve">10. Contact Information</w:t>
      </w:r>
    </w:p>
    <w:p>
      <w:pPr>
        <w:pStyle w:val="FirstParagraph"/>
      </w:pPr>
      <w:r>
        <w:rPr>
          <w:b/>
          <w:bCs/>
        </w:rPr>
        <w:t xml:space="preserve">Security Inquiries:</w:t>
      </w:r>
      <w:r>
        <w:t xml:space="preserve"> </w:t>
      </w:r>
      <w:r>
        <w:t xml:space="preserve">security@ecometricx.com</w:t>
      </w:r>
      <w:r>
        <w:br/>
      </w:r>
      <w:r>
        <w:rPr>
          <w:b/>
          <w:bCs/>
        </w:rPr>
        <w:t xml:space="preserve">InfoSec Lead:</w:t>
      </w:r>
      <w:r>
        <w:t xml:space="preserve"> </w:t>
      </w:r>
      <w:r>
        <w:t xml:space="preserve">Andrei Ionete (andrei@ecometricx.com)</w:t>
      </w:r>
      <w:r>
        <w:br/>
      </w:r>
      <w:r>
        <w:rPr>
          <w:b/>
          <w:bCs/>
        </w:rPr>
        <w:t xml:space="preserve">Audit Contact:</w:t>
      </w:r>
      <w:r>
        <w:t xml:space="preserve"> </w:t>
      </w:r>
      <w:r>
        <w:t xml:space="preserve">[TBD]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Control:</w:t>
      </w:r>
      <w:r>
        <w:t xml:space="preserve"> </w:t>
      </w:r>
      <w:r>
        <w:t xml:space="preserve">Version 1.0 | December 2025 | Next Review: Q1 2026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2025-12-05T23:38:42Z</dcterms:created>
  <dcterms:modified xsi:type="dcterms:W3CDTF">2025-12-05T23:38:42Z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