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442ba6761155b7d1cca7e389cc7d48bad0cbd03"/>
    <w:p>
      <w:pPr>
        <w:pStyle w:val="Heading1"/>
      </w:pPr>
      <w:r>
        <w:t xml:space="preserve">Information Security Management System (ISMS) Scope Definition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5,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Alignment:</w:t>
      </w:r>
      <w:r>
        <w:t xml:space="preserve"> </w:t>
      </w:r>
      <w:r>
        <w:t xml:space="preserve">ISO 27001:2022, SOC 2</w:t>
      </w:r>
    </w:p>
    <w:p>
      <w:r>
        <w:pict>
          <v:rect style="width:0;height:1.5pt" o:hralign="center" o:hrstd="t" o:hr="t"/>
        </w:pict>
      </w:r>
    </w:p>
    <w:bookmarkStart w:id="12" w:name="organization-context"/>
    <w:p>
      <w:pPr>
        <w:pStyle w:val="Heading2"/>
      </w:pPr>
      <w:r>
        <w:t xml:space="preserve">1. Organization Context</w:t>
      </w:r>
    </w:p>
    <w:bookmarkStart w:id="9" w:name="organization-profile"/>
    <w:p>
      <w:pPr>
        <w:pStyle w:val="Heading3"/>
      </w:pPr>
      <w:r>
        <w:t xml:space="preserve">1.1 Organization Profile</w:t>
      </w:r>
    </w:p>
    <w:p>
      <w:pPr>
        <w:pStyle w:val="FirstParagraph"/>
      </w:pPr>
      <w:r>
        <w:rPr>
          <w:b/>
          <w:bCs/>
        </w:rPr>
        <w:t xml:space="preserve">Organization:</w:t>
      </w:r>
      <w:r>
        <w:t xml:space="preserve"> </w:t>
      </w:r>
      <w:r>
        <w:t xml:space="preserve">EcoMetricx LLC</w:t>
      </w:r>
      <w:r>
        <w:br/>
      </w:r>
      <w:r>
        <w:rPr>
          <w:b/>
          <w:bCs/>
        </w:rPr>
        <w:t xml:space="preserve">Industry:</w:t>
      </w:r>
      <w:r>
        <w:t xml:space="preserve"> </w:t>
      </w:r>
      <w:r>
        <w:t xml:space="preserve">Energy Analytics and Data Science</w:t>
      </w:r>
      <w:r>
        <w:br/>
      </w:r>
      <w:r>
        <w:rPr>
          <w:b/>
          <w:bCs/>
        </w:rPr>
        <w:t xml:space="preserve">Business Model:</w:t>
      </w:r>
      <w:r>
        <w:t xml:space="preserve"> </w:t>
      </w:r>
      <w:r>
        <w:t xml:space="preserve">Cloud-based SaaS services</w:t>
      </w:r>
      <w:r>
        <w:br/>
      </w:r>
      <w:r>
        <w:rPr>
          <w:b/>
          <w:bCs/>
        </w:rPr>
        <w:t xml:space="preserve">Workforce:</w:t>
      </w:r>
      <w:r>
        <w:t xml:space="preserve"> </w:t>
      </w:r>
      <w:r>
        <w:t xml:space="preserve">Distributed remote workforce</w:t>
      </w:r>
      <w:r>
        <w:br/>
      </w:r>
      <w:r>
        <w:rPr>
          <w:b/>
          <w:bCs/>
        </w:rPr>
        <w:t xml:space="preserve">Headquarters:</w:t>
      </w:r>
      <w:r>
        <w:t xml:space="preserve"> </w:t>
      </w:r>
      <w:r>
        <w:t xml:space="preserve">No physical headquarters (remote-first)</w:t>
      </w:r>
    </w:p>
    <w:bookmarkEnd w:id="9"/>
    <w:bookmarkStart w:id="10" w:name="business-activities"/>
    <w:p>
      <w:pPr>
        <w:pStyle w:val="Heading3"/>
      </w:pPr>
      <w:r>
        <w:t xml:space="preserve">1.2 Business Activities</w:t>
      </w:r>
    </w:p>
    <w:p>
      <w:pPr>
        <w:pStyle w:val="Compact"/>
        <w:numPr>
          <w:ilvl w:val="0"/>
          <w:numId w:val="1001"/>
        </w:numPr>
      </w:pPr>
      <w:r>
        <w:t xml:space="preserve">Energy consumption data analysis</w:t>
      </w:r>
    </w:p>
    <w:p>
      <w:pPr>
        <w:pStyle w:val="Compact"/>
        <w:numPr>
          <w:ilvl w:val="0"/>
          <w:numId w:val="1001"/>
        </w:numPr>
      </w:pPr>
      <w:r>
        <w:t xml:space="preserve">Predictive analytics for energy optimization</w:t>
      </w:r>
    </w:p>
    <w:p>
      <w:pPr>
        <w:pStyle w:val="Compact"/>
        <w:numPr>
          <w:ilvl w:val="0"/>
          <w:numId w:val="1001"/>
        </w:numPr>
      </w:pPr>
      <w:r>
        <w:t xml:space="preserve">Machine learning model development and deployment</w:t>
      </w:r>
    </w:p>
    <w:p>
      <w:pPr>
        <w:pStyle w:val="Compact"/>
        <w:numPr>
          <w:ilvl w:val="0"/>
          <w:numId w:val="1001"/>
        </w:numPr>
      </w:pPr>
      <w:r>
        <w:t xml:space="preserve">Data processing and transformation services</w:t>
      </w:r>
    </w:p>
    <w:p>
      <w:pPr>
        <w:pStyle w:val="Compact"/>
        <w:numPr>
          <w:ilvl w:val="0"/>
          <w:numId w:val="1001"/>
        </w:numPr>
      </w:pPr>
      <w:r>
        <w:t xml:space="preserve">Custom data science solutions</w:t>
      </w:r>
    </w:p>
    <w:bookmarkEnd w:id="10"/>
    <w:bookmarkStart w:id="11" w:name="key-stakeholders"/>
    <w:p>
      <w:pPr>
        <w:pStyle w:val="Heading3"/>
      </w:pPr>
      <w:r>
        <w:t xml:space="preserve">1.3 Key Stakeholders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Interest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Data security, service availability, privacy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Job security, clear policies,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Compliance, risk management, reputation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Regulators</w:t>
            </w:r>
          </w:p>
        </w:tc>
        <w:tc>
          <w:tcPr/>
          <w:p>
            <w:pPr>
              <w:pStyle w:val="Compact"/>
            </w:pPr>
            <w:r>
              <w:t xml:space="preserve">Legal compliance, 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</w:t>
            </w:r>
          </w:p>
        </w:tc>
        <w:tc>
          <w:tcPr/>
          <w:p>
            <w:pPr>
              <w:pStyle w:val="Compact"/>
            </w:pPr>
            <w:r>
              <w:t xml:space="preserve">Trust, integration 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2" w:name="isms-scope"/>
    <w:p>
      <w:pPr>
        <w:pStyle w:val="Heading2"/>
      </w:pPr>
      <w:r>
        <w:t xml:space="preserve">2. ISMS Scope</w:t>
      </w:r>
    </w:p>
    <w:bookmarkStart w:id="13" w:name="scope-statement"/>
    <w:p>
      <w:pPr>
        <w:pStyle w:val="Heading3"/>
      </w:pPr>
      <w:r>
        <w:t xml:space="preserve">2.1 Scope Statement</w:t>
      </w:r>
    </w:p>
    <w:p>
      <w:pPr>
        <w:pStyle w:val="FirstParagraph"/>
      </w:pPr>
      <w:r>
        <w:t xml:space="preserve">The EcoMetricx Information Security Management System covers all aspects of information security for the delivery of energy analytics and data science services, including:</w:t>
      </w:r>
    </w:p>
    <w:p>
      <w:pPr>
        <w:pStyle w:val="Compact"/>
        <w:numPr>
          <w:ilvl w:val="0"/>
          <w:numId w:val="1002"/>
        </w:numPr>
      </w:pPr>
      <w:r>
        <w:t xml:space="preserve">Cloud infrastructure management (AWS)</w:t>
      </w:r>
    </w:p>
    <w:p>
      <w:pPr>
        <w:pStyle w:val="Compact"/>
        <w:numPr>
          <w:ilvl w:val="0"/>
          <w:numId w:val="1002"/>
        </w:numPr>
      </w:pPr>
      <w:r>
        <w:t xml:space="preserve">Application development and deployment</w:t>
      </w:r>
    </w:p>
    <w:p>
      <w:pPr>
        <w:pStyle w:val="Compact"/>
        <w:numPr>
          <w:ilvl w:val="0"/>
          <w:numId w:val="1002"/>
        </w:numPr>
      </w:pPr>
      <w:r>
        <w:t xml:space="preserve">Customer data processing and storage</w:t>
      </w:r>
    </w:p>
    <w:p>
      <w:pPr>
        <w:pStyle w:val="Compact"/>
        <w:numPr>
          <w:ilvl w:val="0"/>
          <w:numId w:val="1002"/>
        </w:numPr>
      </w:pPr>
      <w:r>
        <w:t xml:space="preserve">Internal business operations</w:t>
      </w:r>
    </w:p>
    <w:p>
      <w:pPr>
        <w:pStyle w:val="Compact"/>
        <w:numPr>
          <w:ilvl w:val="0"/>
          <w:numId w:val="1002"/>
        </w:numPr>
      </w:pPr>
      <w:r>
        <w:t xml:space="preserve">Remote workforce security</w:t>
      </w:r>
    </w:p>
    <w:bookmarkEnd w:id="13"/>
    <w:bookmarkStart w:id="19" w:name="in-scope"/>
    <w:p>
      <w:pPr>
        <w:pStyle w:val="Heading3"/>
      </w:pPr>
      <w:r>
        <w:t xml:space="preserve">2.2 In-Scope</w:t>
      </w:r>
    </w:p>
    <w:bookmarkStart w:id="14" w:name="business-processes"/>
    <w:p>
      <w:pPr>
        <w:pStyle w:val="Heading4"/>
      </w:pPr>
      <w:r>
        <w:t xml:space="preserve">2.2.1 Business Processes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Delivery</w:t>
            </w:r>
          </w:p>
        </w:tc>
        <w:tc>
          <w:tcPr/>
          <w:p>
            <w:pPr>
              <w:pStyle w:val="Compact"/>
            </w:pPr>
            <w:r>
              <w:t xml:space="preserve">Energy analytics services to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Development</w:t>
            </w:r>
          </w:p>
        </w:tc>
        <w:tc>
          <w:tcPr/>
          <w:p>
            <w:pPr>
              <w:pStyle w:val="Compact"/>
            </w:pPr>
            <w:r>
              <w:t xml:space="preserve">Development, testing,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Processing</w:t>
            </w:r>
          </w:p>
        </w:tc>
        <w:tc>
          <w:tcPr/>
          <w:p>
            <w:pPr>
              <w:pStyle w:val="Compact"/>
            </w:pPr>
            <w:r>
              <w:t xml:space="preserve">ETL, analytics, machine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Support</w:t>
            </w:r>
          </w:p>
        </w:tc>
        <w:tc>
          <w:tcPr/>
          <w:p>
            <w:pPr>
              <w:pStyle w:val="Compact"/>
            </w:pPr>
            <w:r>
              <w:t xml:space="preserve">Technical support, incident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Management</w:t>
            </w:r>
          </w:p>
        </w:tc>
        <w:tc>
          <w:tcPr/>
          <w:p>
            <w:pPr>
              <w:pStyle w:val="Compact"/>
            </w:pPr>
            <w:r>
              <w:t xml:space="preserve">AWS resource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Management</w:t>
            </w:r>
          </w:p>
        </w:tc>
        <w:tc>
          <w:tcPr/>
          <w:p>
            <w:pPr>
              <w:pStyle w:val="Compact"/>
            </w:pPr>
            <w:r>
              <w:t xml:space="preserve">User provisioning,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Operations</w:t>
            </w:r>
          </w:p>
        </w:tc>
        <w:tc>
          <w:tcPr/>
          <w:p>
            <w:pPr>
              <w:pStyle w:val="Compact"/>
            </w:pPr>
            <w:r>
              <w:t xml:space="preserve">Monitoring, incident response</w:t>
            </w:r>
          </w:p>
        </w:tc>
      </w:tr>
    </w:tbl>
    <w:bookmarkEnd w:id="14"/>
    <w:bookmarkStart w:id="15" w:name="information-assets"/>
    <w:p>
      <w:pPr>
        <w:pStyle w:val="Heading4"/>
      </w:pPr>
      <w:r>
        <w:t xml:space="preserve">2.2.2 Information Assets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 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Data</w:t>
            </w:r>
          </w:p>
        </w:tc>
        <w:tc>
          <w:tcPr/>
          <w:p>
            <w:pPr>
              <w:pStyle w:val="Compact"/>
            </w:pPr>
            <w:r>
              <w:t xml:space="preserve">Energy consumption, account info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Data</w:t>
            </w:r>
          </w:p>
        </w:tc>
        <w:tc>
          <w:tcPr/>
          <w:p>
            <w:pPr>
              <w:pStyle w:val="Compact"/>
            </w:pPr>
            <w:r>
              <w:t xml:space="preserve">Contracts, pricing, strategies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Data</w:t>
            </w:r>
          </w:p>
        </w:tc>
        <w:tc>
          <w:tcPr/>
          <w:p>
            <w:pPr>
              <w:pStyle w:val="Compact"/>
            </w:pPr>
            <w:r>
              <w:t xml:space="preserve">HR records, credentials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t xml:space="preserve">Applications, algorithms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AWS resources, configurations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Policies, procedures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</w:tbl>
    <w:bookmarkEnd w:id="15"/>
    <w:bookmarkStart w:id="16" w:name="technology-infrastructure"/>
    <w:p>
      <w:pPr>
        <w:pStyle w:val="Heading4"/>
      </w:pPr>
      <w:r>
        <w:t xml:space="preserve">2.2.3 Technology Infrastructure</w:t>
      </w:r>
    </w:p>
    <w:p>
      <w:pPr>
        <w:pStyle w:val="FirstParagraph"/>
      </w:pPr>
      <w:r>
        <w:rPr>
          <w:b/>
          <w:bCs/>
        </w:rPr>
        <w:t xml:space="preserve">Cloud Platform (AWS Account 302146782327):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</w:t>
            </w:r>
          </w:p>
        </w:tc>
        <w:tc>
          <w:tcPr/>
          <w:p>
            <w:pPr>
              <w:pStyle w:val="Compact"/>
            </w:pPr>
            <w:r>
              <w:t xml:space="preserve">11 instances</w:t>
            </w:r>
          </w:p>
        </w:tc>
        <w:tc>
          <w:tcPr/>
          <w:p>
            <w:pPr>
              <w:pStyle w:val="Compact"/>
            </w:pPr>
            <w:r>
              <w:t xml:space="preserve">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54 buckets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4 databases</w:t>
            </w:r>
          </w:p>
        </w:tc>
        <w:tc>
          <w:tcPr/>
          <w:p>
            <w:pPr>
              <w:pStyle w:val="Compact"/>
            </w:pPr>
            <w:r>
              <w:t xml:space="preserve">Data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Serverless 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CloudFormation</w:t>
            </w:r>
          </w:p>
        </w:tc>
        <w:tc>
          <w:tcPr/>
          <w:p>
            <w:pPr>
              <w:pStyle w:val="Compact"/>
            </w:pPr>
            <w:r>
              <w:t xml:space="preserve">Multiple stacks</w:t>
            </w:r>
          </w:p>
        </w:tc>
        <w:tc>
          <w:tcPr/>
          <w:p>
            <w:pPr>
              <w:pStyle w:val="Compact"/>
            </w:pPr>
            <w:r>
              <w:t xml:space="preserve">IaC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CloudTrail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Audit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34 users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Supporting Services:</w:t>
      </w:r>
      <w:r>
        <w:t xml:space="preserve"> </w:t>
      </w:r>
      <w:r>
        <w:t xml:space="preserve">- Microsoft 365 (Identity, Email, Collaboration)</w:t>
      </w:r>
      <w:r>
        <w:t xml:space="preserve"> </w:t>
      </w:r>
      <w:r>
        <w:t xml:space="preserve">- GitHub (Source Control)</w:t>
      </w:r>
      <w:r>
        <w:t xml:space="preserve"> </w:t>
      </w:r>
      <w:r>
        <w:t xml:space="preserve">- Atlassian Confluence (Documentation)</w:t>
      </w:r>
      <w:r>
        <w:t xml:space="preserve"> </w:t>
      </w:r>
      <w:r>
        <w:t xml:space="preserve">- Slack (Communication)</w:t>
      </w:r>
    </w:p>
    <w:bookmarkEnd w:id="16"/>
    <w:bookmarkStart w:id="17" w:name="physical-locations"/>
    <w:p>
      <w:pPr>
        <w:pStyle w:val="Heading4"/>
      </w:pPr>
      <w:r>
        <w:t xml:space="preserve">2.2.4 Physical Locations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us-east-1</w:t>
            </w:r>
          </w:p>
        </w:tc>
        <w:tc>
          <w:tcPr/>
          <w:p>
            <w:pPr>
              <w:pStyle w:val="Compact"/>
            </w:pPr>
            <w:r>
              <w:t xml:space="preserve">Data Center</w:t>
            </w:r>
          </w:p>
        </w:tc>
        <w:tc>
          <w:tcPr/>
          <w:p>
            <w:pPr>
              <w:pStyle w:val="Compact"/>
            </w:pPr>
            <w:r>
              <w:t xml:space="preserve">Primary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other regions</w:t>
            </w:r>
          </w:p>
        </w:tc>
        <w:tc>
          <w:tcPr/>
          <w:p>
            <w:pPr>
              <w:pStyle w:val="Compact"/>
            </w:pPr>
            <w:r>
              <w:t xml:space="preserve">Data Center</w:t>
            </w:r>
          </w:p>
        </w:tc>
        <w:tc>
          <w:tcPr/>
          <w:p>
            <w:pPr>
              <w:pStyle w:val="Compact"/>
            </w:pPr>
            <w:r>
              <w:t xml:space="preserve">Secondary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Cloud</w:t>
            </w:r>
          </w:p>
        </w:tc>
        <w:tc>
          <w:tcPr/>
          <w:p>
            <w:pPr>
              <w:pStyle w:val="Compact"/>
            </w:pPr>
            <w:r>
              <w:t xml:space="preserve">Data Center</w:t>
            </w:r>
          </w:p>
        </w:tc>
        <w:tc>
          <w:tcPr/>
          <w:p>
            <w:pPr>
              <w:pStyle w:val="Compact"/>
            </w:pPr>
            <w:r>
              <w:t xml:space="preserve">Identity,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Home Offices</w:t>
            </w:r>
          </w:p>
        </w:tc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Remote work endpoints</w:t>
            </w:r>
          </w:p>
        </w:tc>
      </w:tr>
    </w:tbl>
    <w:bookmarkEnd w:id="17"/>
    <w:bookmarkStart w:id="18" w:name="personnel"/>
    <w:p>
      <w:pPr>
        <w:pStyle w:val="Heading4"/>
      </w:pPr>
      <w:r>
        <w:t xml:space="preserve">2.2.5 Personnel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Users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System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Accounts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Automated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Accounts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Contractors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Project-based</w:t>
            </w:r>
          </w:p>
        </w:tc>
      </w:tr>
    </w:tbl>
    <w:bookmarkEnd w:id="18"/>
    <w:bookmarkEnd w:id="19"/>
    <w:bookmarkStart w:id="20" w:name="out-of-scope"/>
    <w:p>
      <w:pPr>
        <w:pStyle w:val="Heading3"/>
      </w:pPr>
      <w:r>
        <w:t xml:space="preserve">2.3 Out of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Customer-owned systems</w:t>
            </w:r>
          </w:p>
        </w:tc>
        <w:tc>
          <w:tcPr/>
          <w:p>
            <w:pPr>
              <w:pStyle w:val="Compact"/>
            </w:pPr>
            <w:r>
              <w:t xml:space="preserve">Customer 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SaaS internal operations</w:t>
            </w:r>
          </w:p>
        </w:tc>
        <w:tc>
          <w:tcPr/>
          <w:p>
            <w:pPr>
              <w:pStyle w:val="Compact"/>
            </w:pPr>
            <w:r>
              <w:t xml:space="preserve">Covered by their certifications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data center security</w:t>
            </w:r>
          </w:p>
        </w:tc>
        <w:tc>
          <w:tcPr/>
          <w:p>
            <w:pPr>
              <w:pStyle w:val="Compact"/>
            </w:pPr>
            <w:r>
              <w:t xml:space="preserve">AWS responsibility (shared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endpoint devices</w:t>
            </w:r>
          </w:p>
        </w:tc>
        <w:tc>
          <w:tcPr/>
          <w:p>
            <w:pPr>
              <w:pStyle w:val="Compact"/>
            </w:pPr>
            <w:r>
              <w:t xml:space="preserve">Customer responsibility</w:t>
            </w:r>
          </w:p>
        </w:tc>
      </w:tr>
    </w:tbl>
    <w:bookmarkEnd w:id="20"/>
    <w:bookmarkStart w:id="21" w:name="interfaces-and-dependencies"/>
    <w:p>
      <w:pPr>
        <w:pStyle w:val="Heading3"/>
      </w:pPr>
      <w:r>
        <w:t xml:space="preserve">2.4 Interfaces and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Portals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Customer access to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Integrations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Data exchange with customer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Services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Cloud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365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Identity,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APIs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Data sources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boundaries"/>
    <w:p>
      <w:pPr>
        <w:pStyle w:val="Heading2"/>
      </w:pPr>
      <w:r>
        <w:t xml:space="preserve">3. Boundaries</w:t>
      </w:r>
    </w:p>
    <w:bookmarkStart w:id="23" w:name="organizational-boundaries"/>
    <w:p>
      <w:pPr>
        <w:pStyle w:val="Heading3"/>
      </w:pPr>
      <w:r>
        <w:t xml:space="preserve">3.1 Organizational Boundaries</w:t>
      </w:r>
    </w:p>
    <w:p>
      <w:pPr>
        <w:pStyle w:val="Compact"/>
        <w:numPr>
          <w:ilvl w:val="0"/>
          <w:numId w:val="1003"/>
        </w:numPr>
      </w:pPr>
      <w:r>
        <w:t xml:space="preserve">All EcoMetricx employees and contractors</w:t>
      </w:r>
    </w:p>
    <w:p>
      <w:pPr>
        <w:pStyle w:val="Compact"/>
        <w:numPr>
          <w:ilvl w:val="0"/>
          <w:numId w:val="1003"/>
        </w:numPr>
      </w:pPr>
      <w:r>
        <w:t xml:space="preserve">All departments and functions</w:t>
      </w:r>
    </w:p>
    <w:p>
      <w:pPr>
        <w:pStyle w:val="Compact"/>
        <w:numPr>
          <w:ilvl w:val="0"/>
          <w:numId w:val="1003"/>
        </w:numPr>
      </w:pPr>
      <w:r>
        <w:t xml:space="preserve">All subsidiaries (if applicable)</w:t>
      </w:r>
    </w:p>
    <w:bookmarkEnd w:id="23"/>
    <w:bookmarkStart w:id="24" w:name="physical-boundaries"/>
    <w:p>
      <w:pPr>
        <w:pStyle w:val="Heading3"/>
      </w:pPr>
      <w:r>
        <w:t xml:space="preserve">3.2 Physical Boundaries</w:t>
      </w:r>
    </w:p>
    <w:p>
      <w:pPr>
        <w:pStyle w:val="Compact"/>
        <w:numPr>
          <w:ilvl w:val="0"/>
          <w:numId w:val="1004"/>
        </w:numPr>
      </w:pPr>
      <w:r>
        <w:t xml:space="preserve">AWS data centers (via shared responsibility model)</w:t>
      </w:r>
    </w:p>
    <w:p>
      <w:pPr>
        <w:pStyle w:val="Compact"/>
        <w:numPr>
          <w:ilvl w:val="0"/>
          <w:numId w:val="1004"/>
        </w:numPr>
      </w:pPr>
      <w:r>
        <w:t xml:space="preserve">Employee home offices (endpoint security)</w:t>
      </w:r>
    </w:p>
    <w:p>
      <w:pPr>
        <w:pStyle w:val="Compact"/>
        <w:numPr>
          <w:ilvl w:val="0"/>
          <w:numId w:val="1004"/>
        </w:numPr>
      </w:pPr>
      <w:r>
        <w:t xml:space="preserve">No physical office locations in scope</w:t>
      </w:r>
    </w:p>
    <w:bookmarkEnd w:id="24"/>
    <w:bookmarkStart w:id="25" w:name="network-boundaries"/>
    <w:p>
      <w:pPr>
        <w:pStyle w:val="Heading3"/>
      </w:pPr>
      <w:r>
        <w:t xml:space="preserve">3.3 Network Boundaries</w:t>
      </w:r>
    </w:p>
    <w:p>
      <w:pPr>
        <w:pStyle w:val="Compact"/>
        <w:numPr>
          <w:ilvl w:val="0"/>
          <w:numId w:val="1005"/>
        </w:numPr>
      </w:pPr>
      <w:r>
        <w:t xml:space="preserve">AWS VPCs and security groups</w:t>
      </w:r>
    </w:p>
    <w:p>
      <w:pPr>
        <w:pStyle w:val="Compact"/>
        <w:numPr>
          <w:ilvl w:val="0"/>
          <w:numId w:val="1005"/>
        </w:numPr>
      </w:pPr>
      <w:r>
        <w:t xml:space="preserve">VPN connections for administrative access</w:t>
      </w:r>
    </w:p>
    <w:p>
      <w:pPr>
        <w:pStyle w:val="Compact"/>
        <w:numPr>
          <w:ilvl w:val="0"/>
          <w:numId w:val="1005"/>
        </w:numPr>
      </w:pPr>
      <w:r>
        <w:t xml:space="preserve">Internet-facing applications</w:t>
      </w:r>
    </w:p>
    <w:p>
      <w:pPr>
        <w:pStyle w:val="Compact"/>
        <w:numPr>
          <w:ilvl w:val="0"/>
          <w:numId w:val="1005"/>
        </w:numPr>
      </w:pPr>
      <w:r>
        <w:t xml:space="preserve">API gateways</w:t>
      </w:r>
    </w:p>
    <w:bookmarkEnd w:id="25"/>
    <w:bookmarkStart w:id="26" w:name="system-boundaries"/>
    <w:p>
      <w:pPr>
        <w:pStyle w:val="Heading3"/>
      </w:pPr>
      <w:r>
        <w:t xml:space="preserve">3.4 System Boundaries</w:t>
      </w:r>
    </w:p>
    <w:p>
      <w:pPr>
        <w:pStyle w:val="Compact"/>
        <w:numPr>
          <w:ilvl w:val="0"/>
          <w:numId w:val="1006"/>
        </w:numPr>
      </w:pPr>
      <w:r>
        <w:t xml:space="preserve">All AWS resources in account 302146782327</w:t>
      </w:r>
    </w:p>
    <w:p>
      <w:pPr>
        <w:pStyle w:val="Compact"/>
        <w:numPr>
          <w:ilvl w:val="0"/>
          <w:numId w:val="1006"/>
        </w:numPr>
      </w:pPr>
      <w:r>
        <w:t xml:space="preserve">Supporting SaaS services (Microsoft 365, GitHub, etc.)</w:t>
      </w:r>
    </w:p>
    <w:p>
      <w:pPr>
        <w:pStyle w:val="Compact"/>
        <w:numPr>
          <w:ilvl w:val="0"/>
          <w:numId w:val="1006"/>
        </w:numPr>
      </w:pPr>
      <w:r>
        <w:t xml:space="preserve">Development and production environments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exclusions-and-justifications"/>
    <w:p>
      <w:pPr>
        <w:pStyle w:val="Heading2"/>
      </w:pPr>
      <w:r>
        <w:t xml:space="preserve">4. Exclusions and Justifications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Exclusion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data processing logic</w:t>
            </w:r>
          </w:p>
        </w:tc>
        <w:tc>
          <w:tcPr/>
          <w:p>
            <w:pPr>
              <w:pStyle w:val="Compact"/>
            </w:pPr>
            <w:r>
              <w:t xml:space="preserve">Varies by customer, covered by agreements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vendor internal controls</w:t>
            </w:r>
          </w:p>
        </w:tc>
        <w:tc>
          <w:tcPr/>
          <w:p>
            <w:pPr>
              <w:pStyle w:val="Compact"/>
            </w:pPr>
            <w:r>
              <w:t xml:space="preserve">Covered by vendor certifications (SOC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security of data centers</w:t>
            </w:r>
          </w:p>
        </w:tc>
        <w:tc>
          <w:tcPr/>
          <w:p>
            <w:pPr>
              <w:pStyle w:val="Compact"/>
            </w:pPr>
            <w:r>
              <w:t xml:space="preserve">AWS responsibility per shared 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regulatory-and-legal-requirements"/>
    <w:p>
      <w:pPr>
        <w:pStyle w:val="Heading2"/>
      </w:pPr>
      <w:r>
        <w:t xml:space="preserve">5. Regulatory and Legal Requirements</w:t>
      </w:r>
    </w:p>
    <w:bookmarkStart w:id="29" w:name="applicable-regulations"/>
    <w:p>
      <w:pPr>
        <w:pStyle w:val="Heading3"/>
      </w:pPr>
      <w:r>
        <w:t xml:space="preserve">5.1 Applicable Regulations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</w:t>
            </w:r>
          </w:p>
        </w:tc>
        <w:tc>
          <w:tcPr/>
          <w:p>
            <w:pPr>
              <w:pStyle w:val="Compact"/>
            </w:pPr>
            <w:r>
              <w:t xml:space="preserve">Customer requirement</w:t>
            </w:r>
          </w:p>
        </w:tc>
        <w:tc>
          <w:tcPr/>
          <w:p>
            <w:pPr>
              <w:pStyle w:val="Compact"/>
            </w:pPr>
            <w:r>
              <w:t xml:space="preserve">Trust Service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27001</w:t>
            </w:r>
          </w:p>
        </w:tc>
        <w:tc>
          <w:tcPr/>
          <w:p>
            <w:pPr>
              <w:pStyle w:val="Compact"/>
            </w:pPr>
            <w:r>
              <w:t xml:space="preserve">Best practice</w:t>
            </w:r>
          </w:p>
        </w:tc>
        <w:tc>
          <w:tcPr/>
          <w:p>
            <w:pPr>
              <w:pStyle w:val="Compact"/>
            </w:pPr>
            <w:r>
              <w:t xml:space="preserve">ISMS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EU customer data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CCPA</w:t>
            </w:r>
          </w:p>
        </w:tc>
        <w:tc>
          <w:tcPr/>
          <w:p>
            <w:pPr>
              <w:pStyle w:val="Compact"/>
            </w:pPr>
            <w:r>
              <w:t xml:space="preserve">California residents</w:t>
            </w:r>
          </w:p>
        </w:tc>
        <w:tc>
          <w:tcPr/>
          <w:p>
            <w:pPr>
              <w:pStyle w:val="Compact"/>
            </w:pPr>
            <w:r>
              <w:t xml:space="preserve">Privacy rights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</w:t>
            </w:r>
          </w:p>
        </w:tc>
        <w:tc>
          <w:tcPr/>
          <w:p>
            <w:pPr>
              <w:pStyle w:val="Compact"/>
            </w:pPr>
            <w:r>
              <w:t xml:space="preserve">If handling PHI</w:t>
            </w:r>
          </w:p>
        </w:tc>
        <w:tc>
          <w:tcPr/>
          <w:p>
            <w:pPr>
              <w:pStyle w:val="Compact"/>
            </w:pPr>
            <w:r>
              <w:t xml:space="preserve">Health data protection</w:t>
            </w:r>
          </w:p>
        </w:tc>
      </w:tr>
    </w:tbl>
    <w:bookmarkEnd w:id="29"/>
    <w:bookmarkStart w:id="30" w:name="contractual-requirements"/>
    <w:p>
      <w:pPr>
        <w:pStyle w:val="Heading3"/>
      </w:pPr>
      <w:r>
        <w:t xml:space="preserve">5.2 Contractual Requirements</w:t>
      </w:r>
    </w:p>
    <w:p>
      <w:pPr>
        <w:pStyle w:val="Compact"/>
        <w:numPr>
          <w:ilvl w:val="0"/>
          <w:numId w:val="1007"/>
        </w:numPr>
      </w:pPr>
      <w:r>
        <w:t xml:space="preserve">Customer contracts with security requirements</w:t>
      </w:r>
    </w:p>
    <w:p>
      <w:pPr>
        <w:pStyle w:val="Compact"/>
        <w:numPr>
          <w:ilvl w:val="0"/>
          <w:numId w:val="1007"/>
        </w:numPr>
      </w:pPr>
      <w:r>
        <w:t xml:space="preserve">SLAs for availability and incident response</w:t>
      </w:r>
    </w:p>
    <w:p>
      <w:pPr>
        <w:pStyle w:val="Compact"/>
        <w:numPr>
          <w:ilvl w:val="0"/>
          <w:numId w:val="1007"/>
        </w:numPr>
      </w:pPr>
      <w:r>
        <w:t xml:space="preserve">Data processing agreements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risk-context"/>
    <w:p>
      <w:pPr>
        <w:pStyle w:val="Heading2"/>
      </w:pPr>
      <w:r>
        <w:t xml:space="preserve">6. Risk Context</w:t>
      </w:r>
    </w:p>
    <w:bookmarkStart w:id="32" w:name="external-context"/>
    <w:p>
      <w:pPr>
        <w:pStyle w:val="Heading3"/>
      </w:pPr>
      <w:r>
        <w:t xml:space="preserve">6.1 External Context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Rapid cloud evolution, emerging threats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</w:t>
            </w:r>
          </w:p>
        </w:tc>
        <w:tc>
          <w:tcPr/>
          <w:p>
            <w:pPr>
              <w:pStyle w:val="Compact"/>
            </w:pPr>
            <w:r>
              <w:t xml:space="preserve">Increasing data protection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</w:t>
            </w:r>
          </w:p>
        </w:tc>
        <w:tc>
          <w:tcPr/>
          <w:p>
            <w:pPr>
              <w:pStyle w:val="Compact"/>
            </w:pPr>
            <w:r>
              <w:t xml:space="preserve">Customer demand for security assurance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</w:t>
            </w:r>
          </w:p>
        </w:tc>
        <w:tc>
          <w:tcPr/>
          <w:p>
            <w:pPr>
              <w:pStyle w:val="Compact"/>
            </w:pPr>
            <w:r>
              <w:t xml:space="preserve">Cost of breaches, cyber insurance</w:t>
            </w:r>
          </w:p>
        </w:tc>
      </w:tr>
    </w:tbl>
    <w:bookmarkEnd w:id="32"/>
    <w:bookmarkStart w:id="33" w:name="internal-context"/>
    <w:p>
      <w:pPr>
        <w:pStyle w:val="Heading3"/>
      </w:pPr>
      <w:r>
        <w:t xml:space="preserve">6.2 Internal Context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Workforce</w:t>
            </w:r>
          </w:p>
        </w:tc>
        <w:tc>
          <w:tcPr/>
          <w:p>
            <w:pPr>
              <w:pStyle w:val="Compact"/>
            </w:pPr>
            <w:r>
              <w:t xml:space="preserve">Distributed endpoints, home 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Cloud-Native</w:t>
            </w:r>
          </w:p>
        </w:tc>
        <w:tc>
          <w:tcPr/>
          <w:p>
            <w:pPr>
              <w:pStyle w:val="Compact"/>
            </w:pPr>
            <w:r>
              <w:t xml:space="preserve">AWS expertise, shared 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Processing</w:t>
            </w:r>
          </w:p>
        </w:tc>
        <w:tc>
          <w:tcPr/>
          <w:p>
            <w:pPr>
              <w:pStyle w:val="Compact"/>
            </w:pPr>
            <w:r>
              <w:t xml:space="preserve">Customer data sensitivity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Scaling infrastructure and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isms-objectives"/>
    <w:p>
      <w:pPr>
        <w:pStyle w:val="Heading2"/>
      </w:pPr>
      <w:r>
        <w:t xml:space="preserve">7. ISMS Objectives</w:t>
      </w:r>
    </w:p>
    <w:bookmarkStart w:id="35" w:name="security-objectives"/>
    <w:p>
      <w:pPr>
        <w:pStyle w:val="Heading3"/>
      </w:pPr>
      <w:r>
        <w:t xml:space="preserve">7.1 Security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Data breaches</w:t>
            </w:r>
          </w:p>
        </w:tc>
        <w:tc>
          <w:tcPr/>
          <w:p>
            <w:pPr>
              <w:pStyle w:val="Compact"/>
            </w:pPr>
            <w:r>
              <w:t xml:space="preserve">0 per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Data corruption incidents</w:t>
            </w:r>
          </w:p>
        </w:tc>
        <w:tc>
          <w:tcPr/>
          <w:p>
            <w:pPr>
              <w:pStyle w:val="Compact"/>
            </w:pPr>
            <w:r>
              <w:t xml:space="preserve">0 per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System uptime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</w:tr>
    </w:tbl>
    <w:bookmarkEnd w:id="35"/>
    <w:bookmarkStart w:id="36" w:name="compliance-objectives"/>
    <w:p>
      <w:pPr>
        <w:pStyle w:val="Heading3"/>
      </w:pPr>
      <w:r>
        <w:t xml:space="preserve">7.2 Compliance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Audit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0 critical/high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Compliance</w:t>
            </w:r>
          </w:p>
        </w:tc>
        <w:tc>
          <w:tcPr/>
          <w:p>
            <w:pPr>
              <w:pStyle w:val="Compact"/>
            </w:pPr>
            <w:r>
              <w:t xml:space="preserve">Exceptions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Completion</w:t>
            </w:r>
          </w:p>
        </w:tc>
        <w:tc>
          <w:tcPr/>
          <w:p>
            <w:pPr>
              <w:pStyle w:val="Compact"/>
            </w:pPr>
            <w:r>
              <w:t xml:space="preserve">Personnel trained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documentation-references"/>
    <w:p>
      <w:pPr>
        <w:pStyle w:val="Heading2"/>
      </w:pPr>
      <w:r>
        <w:t xml:space="preserve">8. Documentation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Security Policy</w:t>
            </w:r>
          </w:p>
        </w:tc>
        <w:tc>
          <w:tcPr/>
          <w:p>
            <w:pPr>
              <w:pStyle w:val="Compact"/>
            </w:pPr>
            <w:r>
              <w:t xml:space="preserve">Overall security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 Policy</w:t>
            </w:r>
          </w:p>
        </w:tc>
        <w:tc>
          <w:tcPr/>
          <w:p>
            <w:pPr>
              <w:pStyle w:val="Compact"/>
            </w:pPr>
            <w:r>
              <w:t xml:space="preserve">Access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Classification Policy</w:t>
            </w:r>
          </w:p>
        </w:tc>
        <w:tc>
          <w:tcPr/>
          <w:p>
            <w:pPr>
              <w:pStyle w:val="Compact"/>
            </w:pPr>
            <w:r>
              <w:t xml:space="preserve">Data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Register</w:t>
            </w:r>
          </w:p>
        </w:tc>
        <w:tc>
          <w:tcPr/>
          <w:p>
            <w:pPr>
              <w:pStyle w:val="Compact"/>
            </w:pPr>
            <w:r>
              <w:t xml:space="preserve">Risk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Security Configuration</w:t>
            </w:r>
          </w:p>
        </w:tc>
        <w:tc>
          <w:tcPr/>
          <w:p>
            <w:pPr>
              <w:pStyle w:val="Compact"/>
            </w:pPr>
            <w:r>
              <w:t xml:space="preserve">Technical controls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review-and-maintenance"/>
    <w:p>
      <w:pPr>
        <w:pStyle w:val="Heading2"/>
      </w:pPr>
      <w:r>
        <w:t xml:space="preserve">9. Review and Maintenance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Review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InfoSec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InfoSec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Review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Update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InfoSec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approval"/>
    <w:p>
      <w:pPr>
        <w:pStyle w:val="Heading2"/>
      </w:pPr>
      <w:r>
        <w:t xml:space="preserve">10. Approval</w:t>
      </w:r>
    </w:p>
    <w:p>
      <w:pPr>
        <w:pStyle w:val="FirstParagraph"/>
      </w:pPr>
      <w:r>
        <w:t xml:space="preserve">This ISMS Scope Definition has been reviewed and approved.</w:t>
      </w:r>
    </w:p>
    <w:p>
      <w:pPr>
        <w:pStyle w:val="BodyText"/>
      </w:pPr>
      <w:r>
        <w:rPr>
          <w:b/>
          <w:bCs/>
        </w:rPr>
        <w:t xml:space="preserve">InfoSec Team Lead:</w:t>
      </w:r>
    </w:p>
    <w:p>
      <w:pPr>
        <w:pStyle w:val="BodyText"/>
      </w:pPr>
      <w:r>
        <w:t xml:space="preserve">Name: ______________________</w:t>
      </w:r>
      <w:r>
        <w:br/>
      </w:r>
      <w:r>
        <w:t xml:space="preserve">Date: ______________________</w:t>
      </w:r>
      <w:r>
        <w:br/>
      </w:r>
      <w:r>
        <w:t xml:space="preserve">Signature: ______________________</w:t>
      </w:r>
    </w:p>
    <w:p>
      <w:pPr>
        <w:pStyle w:val="BodyText"/>
      </w:pPr>
      <w:r>
        <w:rPr>
          <w:b/>
          <w:bCs/>
        </w:rPr>
        <w:t xml:space="preserve">Executive Sponsor:</w:t>
      </w:r>
    </w:p>
    <w:p>
      <w:pPr>
        <w:pStyle w:val="BodyText"/>
      </w:pPr>
      <w:r>
        <w:t xml:space="preserve">Name: ______________________</w:t>
      </w:r>
      <w:r>
        <w:br/>
      </w:r>
      <w:r>
        <w:t xml:space="preserve">Date: ______________________</w:t>
      </w:r>
      <w:r>
        <w:br/>
      </w:r>
      <w:r>
        <w:t xml:space="preserve">Signature: 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December 2025 | Next Review: December 2026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2025-12-05T23:38:43Z</dcterms:created>
  <dcterms:modified xsi:type="dcterms:W3CDTF">2025-12-05T23:38:43Z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