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ersonal-data-inventory"/>
    <w:p>
      <w:pPr>
        <w:pStyle w:val="Heading1"/>
      </w:pPr>
      <w:r>
        <w:t xml:space="preserve">Personal Data Inventory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inventory documents personal data processed by EcoMetricx to support privacy compliance (GDPR, CCPA) and SOC 2 Privacy criteria.</w:t>
      </w:r>
    </w:p>
    <w:p>
      <w:r>
        <w:pict>
          <v:rect style="width:0;height:1.5pt" o:hralign="center" o:hrstd="t" o:hr="t"/>
        </w:pict>
      </w:r>
    </w:p>
    <w:bookmarkEnd w:id="9"/>
    <w:bookmarkStart w:id="10" w:name="data-inventory-summary"/>
    <w:p>
      <w:pPr>
        <w:pStyle w:val="Heading2"/>
      </w:pPr>
      <w:r>
        <w:t xml:space="preserve">Data Inventory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810"/>
        <w:gridCol w:w="1810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Data Elements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Primary System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Contact</w:t>
            </w:r>
          </w:p>
        </w:tc>
        <w:tc>
          <w:tcPr/>
          <w:p>
            <w:pPr>
              <w:pStyle w:val="Compact"/>
            </w:pPr>
            <w:r>
              <w:t xml:space="preserve">Name, Email, Phone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AWS RDS, Microsoft 365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Data</w:t>
            </w:r>
          </w:p>
        </w:tc>
        <w:tc>
          <w:tcPr/>
          <w:p>
            <w:pPr>
              <w:pStyle w:val="Compact"/>
            </w:pPr>
            <w:r>
              <w:t xml:space="preserve">Name, SSN, Address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Microsoft 365, HR Systems</w:t>
            </w:r>
          </w:p>
        </w:tc>
        <w:tc>
          <w:tcPr/>
          <w:p>
            <w:pPr>
              <w:pStyle w:val="Compact"/>
            </w:pPr>
            <w:r>
              <w:t xml:space="preserve">Legal/Contract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Credentials</w:t>
            </w:r>
          </w:p>
        </w:tc>
        <w:tc>
          <w:tcPr/>
          <w:p>
            <w:pPr>
              <w:pStyle w:val="Compact"/>
            </w:pPr>
            <w:r>
              <w:t xml:space="preserve">Usernames, Passwords (hashed)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AWS IAM, Microsoft Entra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Analytics</w:t>
            </w:r>
          </w:p>
        </w:tc>
        <w:tc>
          <w:tcPr/>
          <w:p>
            <w:pPr>
              <w:pStyle w:val="Compact"/>
            </w:pPr>
            <w:r>
              <w:t xml:space="preserve">IP Address, Browser, Activity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AWS CloudWatch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Data</w:t>
            </w:r>
          </w:p>
        </w:tc>
        <w:tc>
          <w:tcPr/>
          <w:p>
            <w:pPr>
              <w:pStyle w:val="Compact"/>
            </w:pPr>
            <w:r>
              <w:t xml:space="preserve">Energy consumption data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AWS RDS, S3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detailed-inventory"/>
    <w:p>
      <w:pPr>
        <w:pStyle w:val="Heading2"/>
      </w:pPr>
      <w:r>
        <w:t xml:space="preserve">Detailed Inventory</w:t>
      </w:r>
    </w:p>
    <w:bookmarkStart w:id="11" w:name="customer-data"/>
    <w:p>
      <w:pPr>
        <w:pStyle w:val="Heading3"/>
      </w:pPr>
      <w:r>
        <w:t xml:space="preserve">1. Customer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392"/>
        <w:gridCol w:w="1653"/>
        <w:gridCol w:w="1566"/>
        <w:gridCol w:w="9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Collection Method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Direct input</w:t>
            </w:r>
          </w:p>
        </w:tc>
        <w:tc>
          <w:tcPr/>
          <w:p>
            <w:pPr>
              <w:pStyle w:val="Compact"/>
            </w:pPr>
            <w:r>
              <w:t xml:space="preserve">RDS (ecmx-tenore)</w:t>
            </w:r>
          </w:p>
        </w:tc>
        <w:tc>
          <w:tcPr/>
          <w:p>
            <w:pPr>
              <w:pStyle w:val="Compact"/>
            </w:pPr>
            <w:r>
              <w:t xml:space="preserve">Contract + 7 years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Direct input</w:t>
            </w:r>
          </w:p>
        </w:tc>
        <w:tc>
          <w:tcPr/>
          <w:p>
            <w:pPr>
              <w:pStyle w:val="Compact"/>
            </w:pPr>
            <w:r>
              <w:t xml:space="preserve">RDS, Microsoft 365</w:t>
            </w:r>
          </w:p>
        </w:tc>
        <w:tc>
          <w:tcPr/>
          <w:p>
            <w:pPr>
              <w:pStyle w:val="Compact"/>
            </w:pPr>
            <w:r>
              <w:t xml:space="preserve">Contract + 7 years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Direct input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Contract + 7 years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Direct input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Contract + 7 years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Address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Direct input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Contract + 7 years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Customer Portal → AWS Amplify → RDS → Analytics (S3/Glue)</w:t>
      </w:r>
    </w:p>
    <w:bookmarkEnd w:id="11"/>
    <w:bookmarkStart w:id="12" w:name="employee-data"/>
    <w:p>
      <w:pPr>
        <w:pStyle w:val="Heading3"/>
      </w:pPr>
      <w:r>
        <w:t xml:space="preserve">2. Employee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392"/>
        <w:gridCol w:w="1653"/>
        <w:gridCol w:w="1566"/>
        <w:gridCol w:w="9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Collection Method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HR onboarding</w:t>
            </w:r>
          </w:p>
        </w:tc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Security Number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HR onboarding</w:t>
            </w:r>
          </w:p>
        </w:tc>
        <w:tc>
          <w:tcPr/>
          <w:p>
            <w:pPr>
              <w:pStyle w:val="Compact"/>
            </w:pPr>
            <w:r>
              <w:t xml:space="preserve">HR System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Address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HR onboarding</w:t>
            </w:r>
          </w:p>
        </w:tc>
        <w:tc>
          <w:tcPr/>
          <w:p>
            <w:pPr>
              <w:pStyle w:val="Compact"/>
            </w:pPr>
            <w:r>
              <w:t xml:space="preserve">HR System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Account (payroll)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HR onboarding</w:t>
            </w:r>
          </w:p>
        </w:tc>
        <w:tc>
          <w:tcPr/>
          <w:p>
            <w:pPr>
              <w:pStyle w:val="Compact"/>
            </w:pPr>
            <w:r>
              <w:t xml:space="preserve">HR System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Contact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HR onboarding</w:t>
            </w:r>
          </w:p>
        </w:tc>
        <w:tc>
          <w:tcPr/>
          <w:p>
            <w:pPr>
              <w:pStyle w:val="Compact"/>
            </w:pPr>
            <w:r>
              <w:t xml:space="preserve">HR System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Data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Manager input</w:t>
            </w:r>
          </w:p>
        </w:tc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HR System → Microsoft 365 → Payroll Processor</w:t>
      </w:r>
    </w:p>
    <w:bookmarkEnd w:id="12"/>
    <w:bookmarkStart w:id="13" w:name="systemtechnical-data"/>
    <w:p>
      <w:pPr>
        <w:pStyle w:val="Heading3"/>
      </w:pPr>
      <w:r>
        <w:t xml:space="preserve">3. System/Technical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392"/>
        <w:gridCol w:w="1653"/>
        <w:gridCol w:w="1566"/>
        <w:gridCol w:w="9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Collection Method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Browser/Device Info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Timestamps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 Logs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User Activity → CloudWatch/CloudTrail → S3 (archived)</w:t>
      </w:r>
    </w:p>
    <w:bookmarkEnd w:id="13"/>
    <w:bookmarkStart w:id="14" w:name="marketing-data"/>
    <w:p>
      <w:pPr>
        <w:pStyle w:val="Heading3"/>
      </w:pPr>
      <w:r>
        <w:t xml:space="preserve">4. Marketing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392"/>
        <w:gridCol w:w="1653"/>
        <w:gridCol w:w="1566"/>
        <w:gridCol w:w="9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Collection Method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Opt-in form</w:t>
            </w:r>
          </w:p>
        </w:tc>
        <w:tc>
          <w:tcPr/>
          <w:p>
            <w:pPr>
              <w:pStyle w:val="Compact"/>
            </w:pPr>
            <w:r>
              <w:t xml:space="preserve">Marketing Platform</w:t>
            </w:r>
          </w:p>
        </w:tc>
        <w:tc>
          <w:tcPr/>
          <w:p>
            <w:pPr>
              <w:pStyle w:val="Compact"/>
            </w:pPr>
            <w:r>
              <w:t xml:space="preserve">Until unsubscribe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Opt-in form</w:t>
            </w:r>
          </w:p>
        </w:tc>
        <w:tc>
          <w:tcPr/>
          <w:p>
            <w:pPr>
              <w:pStyle w:val="Compact"/>
            </w:pPr>
            <w:r>
              <w:t xml:space="preserve">Marketing Platform</w:t>
            </w:r>
          </w:p>
        </w:tc>
        <w:tc>
          <w:tcPr/>
          <w:p>
            <w:pPr>
              <w:pStyle w:val="Compact"/>
            </w:pPr>
            <w:r>
              <w:t xml:space="preserve">Until unsubscribe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User selection</w:t>
            </w:r>
          </w:p>
        </w:tc>
        <w:tc>
          <w:tcPr/>
          <w:p>
            <w:pPr>
              <w:pStyle w:val="Compact"/>
            </w:pPr>
            <w:r>
              <w:t xml:space="preserve">Marketing Platform</w:t>
            </w:r>
          </w:p>
        </w:tc>
        <w:tc>
          <w:tcPr/>
          <w:p>
            <w:pPr>
              <w:pStyle w:val="Compact"/>
            </w:pPr>
            <w:r>
              <w:t xml:space="preserve">Until unsubscribe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data-processing-activities"/>
    <w:p>
      <w:pPr>
        <w:pStyle w:val="Heading2"/>
      </w:pPr>
      <w:r>
        <w:t xml:space="preserve">Data Processing Activities</w:t>
      </w:r>
    </w:p>
    <w:bookmarkStart w:id="16" w:name="activity-1-customer-service-delivery"/>
    <w:p>
      <w:pPr>
        <w:pStyle w:val="Heading3"/>
      </w:pPr>
      <w:r>
        <w:t xml:space="preserve">Activity 1: Customer Service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 energy analytics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Categories</w:t>
            </w:r>
          </w:p>
        </w:tc>
        <w:tc>
          <w:tcPr/>
          <w:p>
            <w:pPr>
              <w:pStyle w:val="Compact"/>
            </w:pPr>
            <w:r>
              <w:t xml:space="preserve">Customer contact, business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Customers, end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t xml:space="preserve">Internal teams, authorized 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t xml:space="preserve">US (AWS us-east-1)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Contract duration + 7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Encryption, access controls</w:t>
            </w:r>
          </w:p>
        </w:tc>
      </w:tr>
    </w:tbl>
    <w:bookmarkEnd w:id="16"/>
    <w:bookmarkStart w:id="17" w:name="activity-2-hr-administration"/>
    <w:p>
      <w:pPr>
        <w:pStyle w:val="Heading3"/>
      </w:pPr>
      <w:r>
        <w:t xml:space="preserve">Activity 2: HR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Employee management, 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Categories</w:t>
            </w:r>
          </w:p>
        </w:tc>
        <w:tc>
          <w:tcPr/>
          <w:p>
            <w:pPr>
              <w:pStyle w:val="Compact"/>
            </w:pPr>
            <w:r>
              <w:t xml:space="preserve">Employee personal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Employees, contractors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t xml:space="preserve">HR team, payroll 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Employment + 7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Encryption, restricted access</w:t>
            </w:r>
          </w:p>
        </w:tc>
      </w:tr>
    </w:tbl>
    <w:bookmarkEnd w:id="17"/>
    <w:bookmarkStart w:id="18" w:name="activity-3-security-monitoring"/>
    <w:p>
      <w:pPr>
        <w:pStyle w:val="Heading3"/>
      </w:pPr>
      <w:r>
        <w:t xml:space="preserve">Activity 3: Security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System security,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Categories</w:t>
            </w:r>
          </w:p>
        </w:tc>
        <w:tc>
          <w:tcPr/>
          <w:p>
            <w:pPr>
              <w:pStyle w:val="Compact"/>
            </w:pPr>
            <w:r>
              <w:t xml:space="preserve">Technical data, access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All system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t xml:space="preserve">US (AWS)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90 days - 1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Encryption, limited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third-party-data-sharing"/>
    <w:p>
      <w:pPr>
        <w:pStyle w:val="Heading2"/>
      </w:pPr>
      <w:r>
        <w:t xml:space="preserve">Third-Party Data Sharing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All data (encrypted)</w:t>
            </w:r>
          </w:p>
        </w:tc>
        <w:tc>
          <w:tcPr/>
          <w:p>
            <w:pPr>
              <w:pStyle w:val="Compact"/>
            </w:pPr>
            <w:r>
              <w:t xml:space="preserve">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Identity, email</w:t>
            </w:r>
          </w:p>
        </w:tc>
        <w:tc>
          <w:tcPr/>
          <w:p>
            <w:pPr>
              <w:pStyle w:val="Compact"/>
            </w:pPr>
            <w:r>
              <w:t xml:space="preserve">Employee data</w:t>
            </w:r>
          </w:p>
        </w:tc>
        <w:tc>
          <w:tcPr/>
          <w:p>
            <w:pPr>
              <w:pStyle w:val="Compact"/>
            </w:pPr>
            <w:r>
              <w:t xml:space="preserve">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Provider</w:t>
            </w:r>
          </w:p>
        </w:tc>
        <w:tc>
          <w:tcPr/>
          <w:p>
            <w:pPr>
              <w:pStyle w:val="Compac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Employee financial data</w:t>
            </w:r>
          </w:p>
        </w:tc>
        <w:tc>
          <w:tcPr/>
          <w:p>
            <w:pPr>
              <w:pStyle w:val="Compact"/>
            </w:pPr>
            <w:r>
              <w:t xml:space="preserve">DPA + BAA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[Other vendors]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[Agreement]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data-subject-rights"/>
    <w:p>
      <w:pPr>
        <w:pStyle w:val="Heading2"/>
      </w:pPr>
      <w:r>
        <w:t xml:space="preserve">Data Subject Rights</w:t>
      </w:r>
    </w:p>
    <w:bookmarkStart w:id="21" w:name="request-handling-process"/>
    <w:p>
      <w:pPr>
        <w:pStyle w:val="Heading3"/>
      </w:pPr>
      <w:r>
        <w:t xml:space="preserve">Request Handling Process</w:t>
      </w:r>
    </w:p>
    <w:p>
      <w:pPr>
        <w:pStyle w:val="Compact"/>
        <w:numPr>
          <w:ilvl w:val="0"/>
          <w:numId w:val="1001"/>
        </w:numPr>
      </w:pPr>
      <w:r>
        <w:t xml:space="preserve">Request received at privacy@ecometricx.com</w:t>
      </w:r>
    </w:p>
    <w:p>
      <w:pPr>
        <w:pStyle w:val="Compact"/>
        <w:numPr>
          <w:ilvl w:val="0"/>
          <w:numId w:val="1001"/>
        </w:numPr>
      </w:pPr>
      <w:r>
        <w:t xml:space="preserve">Identity verified within 3 days</w:t>
      </w:r>
    </w:p>
    <w:p>
      <w:pPr>
        <w:pStyle w:val="Compact"/>
        <w:numPr>
          <w:ilvl w:val="0"/>
          <w:numId w:val="1001"/>
        </w:numPr>
      </w:pPr>
      <w:r>
        <w:t xml:space="preserve">Request processed within 30 days</w:t>
      </w:r>
    </w:p>
    <w:p>
      <w:pPr>
        <w:pStyle w:val="Compact"/>
        <w:numPr>
          <w:ilvl w:val="0"/>
          <w:numId w:val="1001"/>
        </w:numPr>
      </w:pPr>
      <w:r>
        <w:t xml:space="preserve">Response sent to data subject</w:t>
      </w:r>
    </w:p>
    <w:p>
      <w:pPr>
        <w:pStyle w:val="Compact"/>
        <w:numPr>
          <w:ilvl w:val="0"/>
          <w:numId w:val="1001"/>
        </w:numPr>
      </w:pPr>
      <w:r>
        <w:t xml:space="preserve">Request logged and documented</w:t>
      </w:r>
    </w:p>
    <w:bookmarkEnd w:id="21"/>
    <w:bookmarkStart w:id="22" w:name="request-statistics-template"/>
    <w:p>
      <w:pPr>
        <w:pStyle w:val="Heading3"/>
      </w:pPr>
      <w:r>
        <w:t xml:space="preserve">Request Statistics (Template)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Rectification</w:t>
            </w:r>
          </w:p>
        </w:tc>
        <w:tc>
          <w:tcPr/>
          <w:p>
            <w:pPr>
              <w:pStyle w:val="Compact"/>
            </w:pPr>
            <w:r>
              <w:t xml:space="preserve">Erasure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ws-data-storage-locations"/>
    <w:p>
      <w:pPr>
        <w:pStyle w:val="Heading2"/>
      </w:pPr>
      <w:r>
        <w:t xml:space="preserve">AWS Data Storage Locations</w:t>
      </w:r>
    </w:p>
    <w:p>
      <w:pPr>
        <w:pStyle w:val="FirstParagraph"/>
      </w:pPr>
      <w:r>
        <w:t xml:space="preserve">Based on AWS_Security_Configuration_Documentation.md:</w:t>
      </w:r>
    </w:p>
    <w:bookmarkStart w:id="24" w:name="rds-databases"/>
    <w:p>
      <w:pPr>
        <w:pStyle w:val="Heading3"/>
      </w:pPr>
      <w:r>
        <w:t xml:space="preserve">RDS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241"/>
        <w:gridCol w:w="2390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database-neurova</w:t>
            </w:r>
          </w:p>
        </w:tc>
        <w:tc>
          <w:tcPr/>
          <w:p>
            <w:pPr>
              <w:pStyle w:val="Compac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ecmx-tenore</w:t>
            </w:r>
          </w:p>
        </w:tc>
        <w:tc>
          <w:tcPr/>
          <w:p>
            <w:pPr>
              <w:pStyle w:val="Compac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ecometricx-serverless-rds-instance-1</w:t>
            </w:r>
          </w:p>
        </w:tc>
        <w:tc>
          <w:tcPr/>
          <w:p>
            <w:pPr>
              <w:pStyle w:val="Compac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vox-instance-1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</w:tbl>
    <w:bookmarkEnd w:id="24"/>
    <w:bookmarkStart w:id="25" w:name="s3-buckets-data-related"/>
    <w:p>
      <w:pPr>
        <w:pStyle w:val="Heading3"/>
      </w:pPr>
      <w:r>
        <w:t xml:space="preserve">S3 Buckets (Data-Related)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 Pattern</w:t>
            </w:r>
          </w:p>
        </w:tc>
        <w:tc>
          <w:tcPr/>
          <w:p>
            <w:pPr>
              <w:pStyle w:val="Compac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-prod-</w:t>
            </w:r>
            <w:r>
              <w:t xml:space="preserve"> </w:t>
            </w:r>
            <w:r>
              <w:t xml:space="preserve">buckets</w:t>
            </w:r>
          </w:p>
        </w:tc>
        <w:tc>
          <w:tcPr/>
          <w:p>
            <w:pPr>
              <w:pStyle w:val="Compact"/>
            </w:pPr>
            <w:r>
              <w:t xml:space="preserve">May contain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 bucket</w:t>
            </w:r>
          </w:p>
        </w:tc>
        <w:tc>
          <w:tcPr/>
          <w:p>
            <w:pPr>
              <w:pStyle w:val="Compact"/>
            </w:pPr>
            <w:r>
              <w:t xml:space="preserve">IP addresses, user IDs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buckets</w:t>
            </w:r>
          </w:p>
        </w:tc>
        <w:tc>
          <w:tcPr/>
          <w:p>
            <w:pPr>
              <w:pStyle w:val="Compact"/>
            </w:pPr>
            <w:r>
              <w:t xml:space="preserve">All data types</w:t>
            </w:r>
          </w:p>
        </w:tc>
        <w:tc>
          <w:tcPr/>
          <w:p>
            <w:pPr>
              <w:pStyle w:val="Compact"/>
            </w:pPr>
            <w:r>
              <w:t xml:space="preserve">Per source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Art. 30</w:t>
            </w:r>
          </w:p>
        </w:tc>
        <w:tc>
          <w:tcPr/>
          <w:p>
            <w:pPr>
              <w:pStyle w:val="Compact"/>
            </w:pPr>
            <w:r>
              <w:t xml:space="preserve">Records of processing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Art. 15</w:t>
            </w:r>
          </w:p>
        </w:tc>
        <w:tc>
          <w:tcPr/>
          <w:p>
            <w:pPr>
              <w:pStyle w:val="Compact"/>
            </w:pPr>
            <w:r>
              <w:t xml:space="preserve">Right to access</w:t>
            </w:r>
          </w:p>
        </w:tc>
        <w:tc>
          <w:tcPr/>
          <w:p>
            <w:pPr>
              <w:pStyle w:val="Compact"/>
            </w:pPr>
            <w:r>
              <w:t xml:space="preserve">Procedures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Art. 17</w:t>
            </w:r>
          </w:p>
        </w:tc>
        <w:tc>
          <w:tcPr/>
          <w:p>
            <w:pPr>
              <w:pStyle w:val="Compac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Procedures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CCPA 1798.100</w:t>
            </w:r>
          </w:p>
        </w:tc>
        <w:tc>
          <w:tcPr/>
          <w:p>
            <w:pPr>
              <w:pStyle w:val="Compact"/>
            </w:pPr>
            <w:r>
              <w:t xml:space="preserve">Notice at collection</w:t>
            </w:r>
          </w:p>
        </w:tc>
        <w:tc>
          <w:tcPr/>
          <w:p>
            <w:pPr>
              <w:pStyle w:val="Compact"/>
            </w:pPr>
            <w:r>
              <w:t xml:space="preserve">Privacy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P1-P8</w:t>
            </w:r>
          </w:p>
        </w:tc>
        <w:tc>
          <w:tcPr/>
          <w:p>
            <w:pPr>
              <w:pStyle w:val="Compact"/>
            </w:pPr>
            <w:r>
              <w:t xml:space="preserve">Privacy criteria</w:t>
            </w:r>
          </w:p>
        </w:tc>
        <w:tc>
          <w:tcPr/>
          <w:p>
            <w:pPr>
              <w:pStyle w:val="Compact"/>
            </w:pPr>
            <w:r>
              <w:t xml:space="preserve">Policies in place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2"/>
        </w:numPr>
      </w:pPr>
      <w:r>
        <w:t xml:space="preserve">Complete vendor data processing agreements</w:t>
      </w:r>
    </w:p>
    <w:p>
      <w:pPr>
        <w:pStyle w:val="Compact"/>
        <w:numPr>
          <w:ilvl w:val="0"/>
          <w:numId w:val="1003"/>
        </w:numPr>
      </w:pPr>
      <w:r>
        <w:t xml:space="preserve">Implement automated data subject request tracking</w:t>
      </w:r>
    </w:p>
    <w:p>
      <w:pPr>
        <w:pStyle w:val="Compact"/>
        <w:numPr>
          <w:ilvl w:val="0"/>
          <w:numId w:val="1004"/>
        </w:numPr>
      </w:pPr>
      <w:r>
        <w:t xml:space="preserve">Map all S3 buckets containing personal data</w:t>
      </w:r>
    </w:p>
    <w:p>
      <w:pPr>
        <w:pStyle w:val="Compact"/>
        <w:numPr>
          <w:ilvl w:val="0"/>
          <w:numId w:val="1005"/>
        </w:numPr>
      </w:pPr>
      <w:r>
        <w:t xml:space="preserve">Define data retention automation procedures</w:t>
      </w:r>
    </w:p>
    <w:p>
      <w:pPr>
        <w:pStyle w:val="Compact"/>
        <w:numPr>
          <w:ilvl w:val="0"/>
          <w:numId w:val="1006"/>
        </w:numPr>
      </w:pPr>
      <w:r>
        <w:t xml:space="preserve">Annual inventory review and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December 2026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