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endor-inventory"/>
    <w:p>
      <w:pPr>
        <w:pStyle w:val="Heading1"/>
      </w:pPr>
      <w:r>
        <w:t xml:space="preserve">Vendor Inventory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5,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Quarterly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maintains the inventory of all third-party vendors and service providers used by EcoMetricx, with risk classifications per the Vendor Management Policy.</w:t>
      </w:r>
    </w:p>
    <w:bookmarkEnd w:id="9"/>
    <w:bookmarkStart w:id="13" w:name="critical-vendors"/>
    <w:p>
      <w:pPr>
        <w:pStyle w:val="Heading2"/>
      </w:pPr>
      <w:r>
        <w:t xml:space="preserve">Critical Vendors</w:t>
      </w:r>
    </w:p>
    <w:bookmarkStart w:id="10" w:name="cloud-infrastructure"/>
    <w:p>
      <w:pPr>
        <w:pStyle w:val="Heading3"/>
      </w:pPr>
      <w:r>
        <w:t xml:space="preserve">Cloud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783"/>
        <w:gridCol w:w="1305"/>
        <w:gridCol w:w="1131"/>
        <w:gridCol w:w="1392"/>
        <w:gridCol w:w="147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Contract Expiry</w:t>
            </w:r>
          </w:p>
        </w:tc>
        <w:tc>
          <w:tcPr/>
          <w:p>
            <w:pPr>
              <w:pStyle w:val="Compact"/>
            </w:pPr>
            <w:r>
              <w:t xml:space="preserve">Last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Amazon Web Services (AWS)</w:t>
            </w:r>
          </w:p>
        </w:tc>
        <w:tc>
          <w:tcPr/>
          <w:p>
            <w:pPr>
              <w:pStyle w:val="Compac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Confidential, Restricted</w:t>
            </w:r>
          </w:p>
        </w:tc>
        <w:tc>
          <w:tcPr/>
          <w:p>
            <w:pPr>
              <w:pStyle w:val="Compact"/>
            </w:pPr>
            <w:r>
              <w:t xml:space="preserve">SOC 2, ISO 27001, HIPAA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Dec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Identity, Email, Collaboration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SOC 2, ISO 27001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Dec 2025</w:t>
            </w:r>
          </w:p>
        </w:tc>
      </w:tr>
    </w:tbl>
    <w:bookmarkEnd w:id="10"/>
    <w:bookmarkStart w:id="11" w:name="development-and-operations"/>
    <w:p>
      <w:pPr>
        <w:pStyle w:val="Heading3"/>
      </w:pPr>
      <w:r>
        <w:t xml:space="preserve">Development and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783"/>
        <w:gridCol w:w="1305"/>
        <w:gridCol w:w="1131"/>
        <w:gridCol w:w="1392"/>
        <w:gridCol w:w="147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Contract Expiry</w:t>
            </w:r>
          </w:p>
        </w:tc>
        <w:tc>
          <w:tcPr/>
          <w:p>
            <w:pPr>
              <w:pStyle w:val="Compact"/>
            </w:pPr>
            <w:r>
              <w:t xml:space="preserve">Last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 Management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SOC 2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Dec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 (Confluence)</w:t>
            </w:r>
          </w:p>
        </w:tc>
        <w:tc>
          <w:tcPr/>
          <w:p>
            <w:pPr>
              <w:pStyle w:val="Compact"/>
            </w:pPr>
            <w:r>
              <w:t xml:space="preserve">Documentation, Knowledge Base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SOC 2, ISO 27001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Dec 2025</w:t>
            </w:r>
          </w:p>
        </w:tc>
      </w:tr>
    </w:tbl>
    <w:bookmarkEnd w:id="11"/>
    <w:bookmarkStart w:id="12" w:name="communication"/>
    <w:p>
      <w:pPr>
        <w:pStyle w:val="Heading3"/>
      </w:pPr>
      <w:r>
        <w:t xml:space="preserve">Communication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783"/>
        <w:gridCol w:w="1305"/>
        <w:gridCol w:w="1131"/>
        <w:gridCol w:w="1392"/>
        <w:gridCol w:w="147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Contract Expiry</w:t>
            </w:r>
          </w:p>
        </w:tc>
        <w:tc>
          <w:tcPr/>
          <w:p>
            <w:pPr>
              <w:pStyle w:val="Compact"/>
            </w:pPr>
            <w:r>
              <w:t xml:space="preserve">Last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Team Communication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SOC 2, ISO 27001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Dec 2025</w:t>
            </w:r>
          </w:p>
        </w:tc>
      </w:tr>
    </w:tbl>
    <w:bookmarkEnd w:id="12"/>
    <w:bookmarkEnd w:id="13"/>
    <w:bookmarkStart w:id="14" w:name="aws-services-detail"/>
    <w:p>
      <w:pPr>
        <w:pStyle w:val="Heading2"/>
      </w:pPr>
      <w:r>
        <w:t xml:space="preserve">AWS Services Detail</w:t>
      </w:r>
    </w:p>
    <w:p>
      <w:pPr>
        <w:pStyle w:val="FirstParagraph"/>
      </w:pPr>
      <w:r>
        <w:t xml:space="preserve">Per AWS_Security_Configuration_Documentation.md: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t xml:space="preserve">SOC 2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</w:t>
            </w:r>
          </w:p>
        </w:tc>
        <w:tc>
          <w:tcPr/>
          <w:p>
            <w:pPr>
              <w:pStyle w:val="Compact"/>
            </w:pPr>
            <w:r>
              <w:t xml:space="preserve">Compute (11 instances)</w:t>
            </w:r>
          </w:p>
        </w:tc>
        <w:tc>
          <w:tcPr/>
          <w:p>
            <w:pPr>
              <w:pStyle w:val="Compact"/>
            </w:pPr>
            <w:r>
              <w:t xml:space="preserve">Internal/Confidential</w:t>
            </w:r>
          </w:p>
        </w:tc>
        <w:tc>
          <w:tcPr/>
          <w:p>
            <w:pPr>
              <w:pStyle w:val="Compact"/>
            </w:pPr>
            <w:r>
              <w:t xml:space="preserve">CC6.7, CC7.1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Storage (54 buckets)</w:t>
            </w:r>
          </w:p>
        </w:tc>
        <w:tc>
          <w:tcPr/>
          <w:p>
            <w:pPr>
              <w:pStyle w:val="Compact"/>
            </w:pPr>
            <w:r>
              <w:t xml:space="preserve">All levels</w:t>
            </w:r>
          </w:p>
        </w:tc>
        <w:tc>
          <w:tcPr/>
          <w:p>
            <w:pPr>
              <w:pStyle w:val="Compact"/>
            </w:pPr>
            <w:r>
              <w:t xml:space="preserve">CC6.6, CC7.3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</w:t>
            </w:r>
          </w:p>
        </w:tc>
        <w:tc>
          <w:tcPr/>
          <w:p>
            <w:pPr>
              <w:pStyle w:val="Compact"/>
            </w:pPr>
            <w:r>
              <w:t xml:space="preserve">Databases (4 instances)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CC6.6, CC7.3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CloudTrail</w:t>
            </w:r>
          </w:p>
        </w:tc>
        <w:tc>
          <w:tcPr/>
          <w:p>
            <w:pPr>
              <w:pStyle w:val="Compact"/>
            </w:pPr>
            <w:r>
              <w:t xml:space="preserve">API Logging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CC7.1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CloudWatch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CC7.1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CC6.2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Serverless Compute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CC6.7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Glue</w:t>
            </w:r>
          </w:p>
        </w:tc>
        <w:tc>
          <w:tcPr/>
          <w:p>
            <w:pPr>
              <w:pStyle w:val="Compact"/>
            </w:pPr>
            <w:r>
              <w:t xml:space="preserve">ETL Services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CC6.6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SageMaker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CC6.6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Amplify</w:t>
            </w:r>
          </w:p>
        </w:tc>
        <w:tc>
          <w:tcPr/>
          <w:p>
            <w:pPr>
              <w:pStyle w:val="Compact"/>
            </w:pPr>
            <w:r>
              <w:t xml:space="preserve">Application Hosting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CC6.7</w:t>
            </w:r>
          </w:p>
        </w:tc>
      </w:tr>
    </w:tbl>
    <w:bookmarkEnd w:id="14"/>
    <w:bookmarkStart w:id="15" w:name="standard-vendors"/>
    <w:p>
      <w:pPr>
        <w:pStyle w:val="Heading2"/>
      </w:pPr>
      <w:r>
        <w:t xml:space="preserve">Standard Vendors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783"/>
        <w:gridCol w:w="1305"/>
        <w:gridCol w:w="1131"/>
        <w:gridCol w:w="1392"/>
        <w:gridCol w:w="147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Contract Expiry</w:t>
            </w:r>
          </w:p>
        </w:tc>
        <w:tc>
          <w:tcPr/>
          <w:p>
            <w:pPr>
              <w:pStyle w:val="Compact"/>
            </w:pPr>
            <w:r>
              <w:t xml:space="preserve">Last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[Add vendors as identified]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low-risk-vendors"/>
    <w:p>
      <w:pPr>
        <w:pStyle w:val="Heading2"/>
      </w:pPr>
      <w:r>
        <w:t xml:space="preserve">Low-Risk Vendors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783"/>
        <w:gridCol w:w="1305"/>
        <w:gridCol w:w="1131"/>
        <w:gridCol w:w="1392"/>
        <w:gridCol w:w="147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Contract Expiry</w:t>
            </w:r>
          </w:p>
        </w:tc>
        <w:tc>
          <w:tcPr/>
          <w:p>
            <w:pPr>
              <w:pStyle w:val="Compact"/>
            </w:pPr>
            <w:r>
              <w:t xml:space="preserve">Last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[Add vendors as identified]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vendor-assessment-status"/>
    <w:p>
      <w:pPr>
        <w:pStyle w:val="Heading2"/>
      </w:pPr>
      <w:r>
        <w:t xml:space="preserve">Vendor Assessment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212"/>
        <w:gridCol w:w="1980"/>
        <w:gridCol w:w="1980"/>
        <w:gridCol w:w="8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Assessment Status</w:t>
            </w:r>
          </w:p>
        </w:tc>
        <w:tc>
          <w:tcPr/>
          <w:p>
            <w:pPr>
              <w:pStyle w:val="Compact"/>
            </w:pPr>
            <w:r>
              <w:t xml:space="preserve">Last Assessment</w:t>
            </w:r>
          </w:p>
        </w:tc>
        <w:tc>
          <w:tcPr/>
          <w:p>
            <w:pPr>
              <w:pStyle w:val="Compact"/>
            </w:pPr>
            <w:r>
              <w:t xml:space="preserve">Next Assessment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Dec 2025</w:t>
            </w:r>
          </w:p>
        </w:tc>
        <w:tc>
          <w:tcPr/>
          <w:p>
            <w:pPr>
              <w:pStyle w:val="Compact"/>
            </w:pPr>
            <w:r>
              <w:t xml:space="preserve">Dec 2026</w:t>
            </w:r>
          </w:p>
        </w:tc>
        <w:tc>
          <w:tcPr/>
          <w:p>
            <w:pPr>
              <w:pStyle w:val="Compact"/>
            </w:pPr>
            <w:r>
              <w:t xml:space="preserve">SOC 2 report 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Oct 2025</w:t>
            </w:r>
          </w:p>
        </w:tc>
        <w:tc>
          <w:tcPr/>
          <w:p>
            <w:pPr>
              <w:pStyle w:val="Compact"/>
            </w:pPr>
            <w:r>
              <w:t xml:space="preserve">Oct 2026</w:t>
            </w:r>
          </w:p>
        </w:tc>
        <w:tc>
          <w:tcPr/>
          <w:p>
            <w:pPr>
              <w:pStyle w:val="Compact"/>
            </w:pPr>
            <w:r>
              <w:t xml:space="preserve">BIA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Request SOC 2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Request SOC 2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Q1 2026</w:t>
            </w:r>
          </w:p>
        </w:tc>
        <w:tc>
          <w:tcPr/>
          <w:p>
            <w:pPr>
              <w:pStyle w:val="Compact"/>
            </w:pPr>
            <w:r>
              <w:t xml:space="preserve">Request SOC 2 report</w:t>
            </w:r>
          </w:p>
        </w:tc>
      </w:tr>
    </w:tbl>
    <w:bookmarkEnd w:id="17"/>
    <w:bookmarkStart w:id="18" w:name="contract-status"/>
    <w:p>
      <w:pPr>
        <w:pStyle w:val="Heading2"/>
      </w:pPr>
      <w:r>
        <w:t xml:space="preserve">Contract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DPA/BAA Status</w:t>
            </w:r>
          </w:p>
        </w:tc>
        <w:tc>
          <w:tcPr/>
          <w:p>
            <w:pPr>
              <w:pStyle w:val="Compact"/>
            </w:pPr>
            <w:r>
              <w:t xml:space="preserve">NDA Status</w:t>
            </w:r>
          </w:p>
        </w:tc>
        <w:tc>
          <w:tcPr/>
          <w:p>
            <w:pPr>
              <w:pStyle w:val="Compact"/>
            </w:pPr>
            <w:r>
              <w:t xml:space="preserve">SLA 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[Check]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Standard AWS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[Check]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Enterprise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</w:tbl>
    <w:bookmarkEnd w:id="18"/>
    <w:bookmarkStart w:id="19" w:name="data-flow-summary"/>
    <w:p>
      <w:pPr>
        <w:pStyle w:val="Heading2"/>
      </w:pPr>
      <w:r>
        <w:t xml:space="preserve">Data Flow Summary</w:t>
      </w:r>
    </w:p>
    <w:p>
      <w:pPr>
        <w:pStyle w:val="FirstParagraph"/>
      </w:pPr>
      <w:r>
        <w:t xml:space="preserve">Based on Domain Services BIA and AWS configuration:</w:t>
      </w:r>
    </w:p>
    <w:p>
      <w:pPr>
        <w:pStyle w:val="SourceCode"/>
      </w:pPr>
      <w:r>
        <w:rPr>
          <w:rStyle w:val="VerbatimChar"/>
        </w:rPr>
        <w:t xml:space="preserve">Microsoft 365 (Identity)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EcoMetricx AWS                    │</w:t>
      </w:r>
      <w:r>
        <w:br/>
      </w:r>
      <w:r>
        <w:rPr>
          <w:rStyle w:val="VerbatimChar"/>
        </w:rPr>
        <w:t xml:space="preserve">│  ┌─────────┐   ┌─────────┐   ┌─────────┐        │</w:t>
      </w:r>
      <w:r>
        <w:br/>
      </w:r>
      <w:r>
        <w:rPr>
          <w:rStyle w:val="VerbatimChar"/>
        </w:rPr>
        <w:t xml:space="preserve">│  │   EC2   │ → │   RDS   │ → │   S3    │        │</w:t>
      </w:r>
      <w:r>
        <w:br/>
      </w:r>
      <w:r>
        <w:rPr>
          <w:rStyle w:val="VerbatimChar"/>
        </w:rPr>
        <w:t xml:space="preserve">│  │(11 inst)│   │(4 DBs)  │   │(54 bkt) │        │</w:t>
      </w:r>
      <w:r>
        <w:br/>
      </w:r>
      <w:r>
        <w:rPr>
          <w:rStyle w:val="VerbatimChar"/>
        </w:rPr>
        <w:t xml:space="preserve">│  └─────────┘   └─────────┘   └─────────┘        │</w:t>
      </w:r>
      <w:r>
        <w:br/>
      </w:r>
      <w:r>
        <w:rPr>
          <w:rStyle w:val="VerbatimChar"/>
        </w:rPr>
        <w:t xml:space="preserve">│       ↓             ↓             ↓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 Glue / SageMaker / Lambda / Amplify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GitHub (Code) ← → Slack (Communication) ← → Confluence (Docs)</w:t>
      </w:r>
    </w:p>
    <w:bookmarkEnd w:id="19"/>
    <w:bookmarkStart w:id="20" w:name="risk-assessment-summary"/>
    <w:p>
      <w:pPr>
        <w:pStyle w:val="Heading2"/>
      </w:pPr>
      <w:r>
        <w:t xml:space="preserve">Risk Assessment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160"/>
        <w:gridCol w:w="198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Key Risks</w:t>
            </w:r>
          </w:p>
        </w:tc>
        <w:tc>
          <w:tcPr/>
          <w:p>
            <w:pPr>
              <w:pStyle w:val="Compact"/>
            </w:pPr>
            <w:r>
              <w:t xml:space="preserve">Mitigations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Single point of failure for authentication</w:t>
            </w:r>
          </w:p>
        </w:tc>
        <w:tc>
          <w:tcPr/>
          <w:p>
            <w:pPr>
              <w:pStyle w:val="Compact"/>
            </w:pPr>
            <w:r>
              <w:t xml:space="preserve">Workaround procedures documented (BIA)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Data residency, access control</w:t>
            </w:r>
          </w:p>
        </w:tc>
        <w:tc>
          <w:tcPr/>
          <w:p>
            <w:pPr>
              <w:pStyle w:val="Compact"/>
            </w:pPr>
            <w:r>
              <w:t xml:space="preserve">Encryption, IAM policies,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Source code access</w:t>
            </w:r>
          </w:p>
        </w:tc>
        <w:tc>
          <w:tcPr/>
          <w:p>
            <w:pPr>
              <w:pStyle w:val="Compact"/>
            </w:pPr>
            <w:r>
              <w:t xml:space="preserve">Access controls, branch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Communication data</w:t>
            </w:r>
          </w:p>
        </w:tc>
        <w:tc>
          <w:tcPr/>
          <w:p>
            <w:pPr>
              <w:pStyle w:val="Compact"/>
            </w:pPr>
            <w:r>
              <w:t xml:space="preserve">SSO integration,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Documentation access</w:t>
            </w:r>
          </w:p>
        </w:tc>
        <w:tc>
          <w:tcPr/>
          <w:p>
            <w:pPr>
              <w:pStyle w:val="Compact"/>
            </w:pPr>
            <w:r>
              <w:t xml:space="preserve">SSO integration</w:t>
            </w:r>
          </w:p>
        </w:tc>
      </w:tr>
    </w:tbl>
    <w:bookmarkEnd w:id="20"/>
    <w:bookmarkStart w:id="21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1"/>
        </w:numPr>
      </w:pPr>
      <w:r>
        <w:t xml:space="preserve">☐ Request SOC 2 reports from GitHub, Atlassian, Slack</w:t>
      </w:r>
    </w:p>
    <w:p>
      <w:pPr>
        <w:pStyle w:val="Compact"/>
        <w:numPr>
          <w:ilvl w:val="0"/>
          <w:numId w:val="1001"/>
        </w:numPr>
      </w:pPr>
      <w:r>
        <w:t xml:space="preserve">☐ Verify DPA/BAA status for all critical vendors</w:t>
      </w:r>
    </w:p>
    <w:p>
      <w:pPr>
        <w:pStyle w:val="Compact"/>
        <w:numPr>
          <w:ilvl w:val="0"/>
          <w:numId w:val="1001"/>
        </w:numPr>
      </w:pPr>
      <w:r>
        <w:t xml:space="preserve">☐ Complete vendor security assessments per schedule</w:t>
      </w:r>
    </w:p>
    <w:p>
      <w:pPr>
        <w:pStyle w:val="Compact"/>
        <w:numPr>
          <w:ilvl w:val="0"/>
          <w:numId w:val="1001"/>
        </w:numPr>
      </w:pPr>
      <w:r>
        <w:t xml:space="preserve">☐ Update contract expiry dates</w:t>
      </w:r>
    </w:p>
    <w:p>
      <w:pPr>
        <w:pStyle w:val="Compact"/>
        <w:numPr>
          <w:ilvl w:val="0"/>
          <w:numId w:val="1001"/>
        </w:numPr>
      </w:pPr>
      <w:r>
        <w:t xml:space="preserve">☐ Schedule next quarterly 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 | Next Review: Q1 2026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2025-12-05T23:38:42Z</dcterms:created>
  <dcterms:modified xsi:type="dcterms:W3CDTF">2025-12-05T23:38:42Z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