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CO2 Adapters — WVS Wave 7 Option-Distribution Grids</w:t>
      </w:r>
    </w:p>
    <w:p>
      <w:r>
        <w:t>Target population (blue) vs adapter (orange) response distributions per question, grouped by GPS dimension. Base model: Llama-3.1-8B-Instruct + QLoRA-DPO adapter per country. Unconditioned prompting (anti-leakage): each adapter emits a single fixed distribution, scored against each country's survey-weighted population.</w:t>
      </w:r>
    </w:p>
    <w:p>
      <w:pPr>
        <w:pStyle w:val="Heading1"/>
      </w:pPr>
      <w:r>
        <w:t>IND_adapter on IND  —  matched TVD 0.511 (base 0.494, Δ -0.017)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adapter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IDN_adapter on IDN  —  matched TVD 0.574 (base 0.517, Δ -0.056)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N_adapter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NGA_adapter on NGA  —  matched TVD 0.495 (base 0.515, Δ +0.019)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A_adapter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EGY_adapter on EGY  —  matched TVD 0.577 (base 0.532, Δ -0.046)</w:t>
      </w:r>
    </w:p>
    <w:p>
      <w:r>
        <w:drawing>
          <wp:inline xmlns:a="http://schemas.openxmlformats.org/drawingml/2006/main" xmlns:pic="http://schemas.openxmlformats.org/drawingml/2006/picture">
            <wp:extent cx="6035040" cy="460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_adapter_distrib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0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TUR_adapter on TUR  —  matched TVD 0.464 (base 0.446, Δ -0.018)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_adapter_distribu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NLD_adapter on NLD  —  matched TVD 0.504 (base 0.411, Δ -0.093)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LD_adapter_distribu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BRA_adapter on BRA  —  matched TVD 0.478 (base 0.486, Δ +0.008)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_adapter_distribu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GRC_adapter on GRC  —  matched TVD 0.404 (base 0.479, Δ +0.075)</w:t>
      </w:r>
    </w:p>
    <w:p>
      <w:r>
        <w:drawing>
          <wp:inline xmlns:a="http://schemas.openxmlformats.org/drawingml/2006/main" xmlns:pic="http://schemas.openxmlformats.org/drawingml/2006/picture">
            <wp:extent cx="6035040" cy="5147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C_adapter_distribu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475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