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CO2 Country Adapters: WVS OOS Evaluation — Executive Report</w:t>
      </w:r>
    </w:p>
    <w:p>
      <w:r>
        <w:t>Date: 2026-08-19 · 8 QLoRA-DPO adapters on Llama-3.1-8B-Instruct (IND, IDN, NGA, EGY, TUR, NLD, BRA, GRC) · 35 unseen WVS wave-7 items (30 GPS-mapped + 5 demographic) · option log-likelihood → softmax → distributional metrics vs survey-weighted populations · unconditioned prompts (single fixed distribution per model). EGY: 3 items skipped (Q69–71 not asked in Egypt; n=32).</w:t>
      </w:r>
    </w:p>
    <w:p>
      <w:pPr>
        <w:pStyle w:val="Heading1"/>
      </w:pPr>
      <w:r>
        <w:t>1 · Headline: matched alignment vs base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Country</w:t>
            </w:r>
          </w:p>
        </w:tc>
        <w:tc>
          <w:tcPr>
            <w:tcW w:type="dxa" w:w="1234"/>
          </w:tcPr>
          <w:p>
            <w:r>
              <w:t>Base TVD</w:t>
            </w:r>
          </w:p>
        </w:tc>
        <w:tc>
          <w:tcPr>
            <w:tcW w:type="dxa" w:w="1234"/>
          </w:tcPr>
          <w:p>
            <w:r>
              <w:t>Adapter TVD</w:t>
            </w:r>
          </w:p>
        </w:tc>
        <w:tc>
          <w:tcPr>
            <w:tcW w:type="dxa" w:w="1234"/>
          </w:tcPr>
          <w:p>
            <w:r>
              <w:t>Δ TVD</w:t>
            </w:r>
          </w:p>
        </w:tc>
        <w:tc>
          <w:tcPr>
            <w:tcW w:type="dxa" w:w="1234"/>
          </w:tcPr>
          <w:p>
            <w:r>
              <w:t>Frac. improved</w:t>
            </w:r>
          </w:p>
        </w:tc>
        <w:tc>
          <w:tcPr>
            <w:tcW w:type="dxa" w:w="1234"/>
          </w:tcPr>
          <w:p>
            <w:r>
              <w:t>Base JSD</w:t>
            </w:r>
          </w:p>
        </w:tc>
        <w:tc>
          <w:tcPr>
            <w:tcW w:type="dxa" w:w="1234"/>
          </w:tcPr>
          <w:p>
            <w:r>
              <w:t>Adapter JSD</w:t>
            </w:r>
          </w:p>
        </w:tc>
      </w:tr>
      <w:tr>
        <w:tc>
          <w:tcPr>
            <w:tcW w:type="dxa" w:w="1234"/>
          </w:tcPr>
          <w:p>
            <w:r>
              <w:t>IND</w:t>
            </w:r>
          </w:p>
        </w:tc>
        <w:tc>
          <w:tcPr>
            <w:tcW w:type="dxa" w:w="1234"/>
          </w:tcPr>
          <w:p>
            <w:r>
              <w:t>0.494</w:t>
            </w:r>
          </w:p>
        </w:tc>
        <w:tc>
          <w:tcPr>
            <w:tcW w:type="dxa" w:w="1234"/>
          </w:tcPr>
          <w:p>
            <w:r>
              <w:t>0.511</w:t>
            </w:r>
          </w:p>
        </w:tc>
        <w:tc>
          <w:tcPr>
            <w:tcW w:type="dxa" w:w="1234"/>
          </w:tcPr>
          <w:p>
            <w:r>
              <w:t>-0.017</w:t>
            </w:r>
          </w:p>
        </w:tc>
        <w:tc>
          <w:tcPr>
            <w:tcW w:type="dxa" w:w="1234"/>
          </w:tcPr>
          <w:p>
            <w:r>
              <w:t>49%</w:t>
            </w:r>
          </w:p>
        </w:tc>
        <w:tc>
          <w:tcPr>
            <w:tcW w:type="dxa" w:w="1234"/>
          </w:tcPr>
          <w:p>
            <w:r>
              <w:t>0.198</w:t>
            </w:r>
          </w:p>
        </w:tc>
        <w:tc>
          <w:tcPr>
            <w:tcW w:type="dxa" w:w="1234"/>
          </w:tcPr>
          <w:p>
            <w:r>
              <w:t>0.211</w:t>
            </w:r>
          </w:p>
        </w:tc>
      </w:tr>
      <w:tr>
        <w:tc>
          <w:tcPr>
            <w:tcW w:type="dxa" w:w="1234"/>
          </w:tcPr>
          <w:p>
            <w:r>
              <w:t>IDN</w:t>
            </w:r>
          </w:p>
        </w:tc>
        <w:tc>
          <w:tcPr>
            <w:tcW w:type="dxa" w:w="1234"/>
          </w:tcPr>
          <w:p>
            <w:r>
              <w:t>0.517</w:t>
            </w:r>
          </w:p>
        </w:tc>
        <w:tc>
          <w:tcPr>
            <w:tcW w:type="dxa" w:w="1234"/>
          </w:tcPr>
          <w:p>
            <w:r>
              <w:t>0.574</w:t>
            </w:r>
          </w:p>
        </w:tc>
        <w:tc>
          <w:tcPr>
            <w:tcW w:type="dxa" w:w="1234"/>
          </w:tcPr>
          <w:p>
            <w:r>
              <w:t>-0.056</w:t>
            </w:r>
          </w:p>
        </w:tc>
        <w:tc>
          <w:tcPr>
            <w:tcW w:type="dxa" w:w="1234"/>
          </w:tcPr>
          <w:p>
            <w:r>
              <w:t>11%</w:t>
            </w:r>
          </w:p>
        </w:tc>
        <w:tc>
          <w:tcPr>
            <w:tcW w:type="dxa" w:w="1234"/>
          </w:tcPr>
          <w:p>
            <w:r>
              <w:t>0.217</w:t>
            </w:r>
          </w:p>
        </w:tc>
        <w:tc>
          <w:tcPr>
            <w:tcW w:type="dxa" w:w="1234"/>
          </w:tcPr>
          <w:p>
            <w:r>
              <w:t>0.258</w:t>
            </w:r>
          </w:p>
        </w:tc>
      </w:tr>
      <w:tr>
        <w:tc>
          <w:tcPr>
            <w:tcW w:type="dxa" w:w="1234"/>
          </w:tcPr>
          <w:p>
            <w:r>
              <w:t>NGA</w:t>
            </w:r>
          </w:p>
        </w:tc>
        <w:tc>
          <w:tcPr>
            <w:tcW w:type="dxa" w:w="1234"/>
          </w:tcPr>
          <w:p>
            <w:r>
              <w:t>0.515</w:t>
            </w:r>
          </w:p>
        </w:tc>
        <w:tc>
          <w:tcPr>
            <w:tcW w:type="dxa" w:w="1234"/>
          </w:tcPr>
          <w:p>
            <w:r>
              <w:t>0.495</w:t>
            </w:r>
          </w:p>
        </w:tc>
        <w:tc>
          <w:tcPr>
            <w:tcW w:type="dxa" w:w="1234"/>
          </w:tcPr>
          <w:p>
            <w:r>
              <w:t>+0.019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0.220</w:t>
            </w:r>
          </w:p>
        </w:tc>
        <w:tc>
          <w:tcPr>
            <w:tcW w:type="dxa" w:w="1234"/>
          </w:tcPr>
          <w:p>
            <w:r>
              <w:t>0.207</w:t>
            </w:r>
          </w:p>
        </w:tc>
      </w:tr>
      <w:tr>
        <w:tc>
          <w:tcPr>
            <w:tcW w:type="dxa" w:w="1234"/>
          </w:tcPr>
          <w:p>
            <w:r>
              <w:t>EGY</w:t>
            </w:r>
          </w:p>
        </w:tc>
        <w:tc>
          <w:tcPr>
            <w:tcW w:type="dxa" w:w="1234"/>
          </w:tcPr>
          <w:p>
            <w:r>
              <w:t>0.532</w:t>
            </w:r>
          </w:p>
        </w:tc>
        <w:tc>
          <w:tcPr>
            <w:tcW w:type="dxa" w:w="1234"/>
          </w:tcPr>
          <w:p>
            <w:r>
              <w:t>0.577</w:t>
            </w:r>
          </w:p>
        </w:tc>
        <w:tc>
          <w:tcPr>
            <w:tcW w:type="dxa" w:w="1234"/>
          </w:tcPr>
          <w:p>
            <w:r>
              <w:t>-0.046</w:t>
            </w:r>
          </w:p>
        </w:tc>
        <w:tc>
          <w:tcPr>
            <w:tcW w:type="dxa" w:w="1234"/>
          </w:tcPr>
          <w:p>
            <w:r>
              <w:t>19%</w:t>
            </w:r>
          </w:p>
        </w:tc>
        <w:tc>
          <w:tcPr>
            <w:tcW w:type="dxa" w:w="1234"/>
          </w:tcPr>
          <w:p>
            <w:r>
              <w:t>0.234</w:t>
            </w:r>
          </w:p>
        </w:tc>
        <w:tc>
          <w:tcPr>
            <w:tcW w:type="dxa" w:w="1234"/>
          </w:tcPr>
          <w:p>
            <w:r>
              <w:t>0.267</w:t>
            </w:r>
          </w:p>
        </w:tc>
      </w:tr>
      <w:tr>
        <w:tc>
          <w:tcPr>
            <w:tcW w:type="dxa" w:w="1234"/>
          </w:tcPr>
          <w:p>
            <w:r>
              <w:t>TUR</w:t>
            </w:r>
          </w:p>
        </w:tc>
        <w:tc>
          <w:tcPr>
            <w:tcW w:type="dxa" w:w="1234"/>
          </w:tcPr>
          <w:p>
            <w:r>
              <w:t>0.446</w:t>
            </w:r>
          </w:p>
        </w:tc>
        <w:tc>
          <w:tcPr>
            <w:tcW w:type="dxa" w:w="1234"/>
          </w:tcPr>
          <w:p>
            <w:r>
              <w:t>0.464</w:t>
            </w:r>
          </w:p>
        </w:tc>
        <w:tc>
          <w:tcPr>
            <w:tcW w:type="dxa" w:w="1234"/>
          </w:tcPr>
          <w:p>
            <w:r>
              <w:t>-0.018</w:t>
            </w:r>
          </w:p>
        </w:tc>
        <w:tc>
          <w:tcPr>
            <w:tcW w:type="dxa" w:w="1234"/>
          </w:tcPr>
          <w:p>
            <w:r>
              <w:t>51%</w:t>
            </w:r>
          </w:p>
        </w:tc>
        <w:tc>
          <w:tcPr>
            <w:tcW w:type="dxa" w:w="1234"/>
          </w:tcPr>
          <w:p>
            <w:r>
              <w:t>0.174</w:t>
            </w:r>
          </w:p>
        </w:tc>
        <w:tc>
          <w:tcPr>
            <w:tcW w:type="dxa" w:w="1234"/>
          </w:tcPr>
          <w:p>
            <w:r>
              <w:t>0.184</w:t>
            </w:r>
          </w:p>
        </w:tc>
      </w:tr>
      <w:tr>
        <w:tc>
          <w:tcPr>
            <w:tcW w:type="dxa" w:w="1234"/>
          </w:tcPr>
          <w:p>
            <w:r>
              <w:t>NLD</w:t>
            </w:r>
          </w:p>
        </w:tc>
        <w:tc>
          <w:tcPr>
            <w:tcW w:type="dxa" w:w="1234"/>
          </w:tcPr>
          <w:p>
            <w:r>
              <w:t>0.411</w:t>
            </w:r>
          </w:p>
        </w:tc>
        <w:tc>
          <w:tcPr>
            <w:tcW w:type="dxa" w:w="1234"/>
          </w:tcPr>
          <w:p>
            <w:r>
              <w:t>0.504</w:t>
            </w:r>
          </w:p>
        </w:tc>
        <w:tc>
          <w:tcPr>
            <w:tcW w:type="dxa" w:w="1234"/>
          </w:tcPr>
          <w:p>
            <w:r>
              <w:t>-0.093</w:t>
            </w:r>
          </w:p>
        </w:tc>
        <w:tc>
          <w:tcPr>
            <w:tcW w:type="dxa" w:w="1234"/>
          </w:tcPr>
          <w:p>
            <w:r>
              <w:t>9%</w:t>
            </w:r>
          </w:p>
        </w:tc>
        <w:tc>
          <w:tcPr>
            <w:tcW w:type="dxa" w:w="1234"/>
          </w:tcPr>
          <w:p>
            <w:r>
              <w:t>0.154</w:t>
            </w:r>
          </w:p>
        </w:tc>
        <w:tc>
          <w:tcPr>
            <w:tcW w:type="dxa" w:w="1234"/>
          </w:tcPr>
          <w:p>
            <w:r>
              <w:t>0.214</w:t>
            </w:r>
          </w:p>
        </w:tc>
      </w:tr>
      <w:tr>
        <w:tc>
          <w:tcPr>
            <w:tcW w:type="dxa" w:w="1234"/>
          </w:tcPr>
          <w:p>
            <w:r>
              <w:t>BRA</w:t>
            </w:r>
          </w:p>
        </w:tc>
        <w:tc>
          <w:tcPr>
            <w:tcW w:type="dxa" w:w="1234"/>
          </w:tcPr>
          <w:p>
            <w:r>
              <w:t>0.486</w:t>
            </w:r>
          </w:p>
        </w:tc>
        <w:tc>
          <w:tcPr>
            <w:tcW w:type="dxa" w:w="1234"/>
          </w:tcPr>
          <w:p>
            <w:r>
              <w:t>0.478</w:t>
            </w:r>
          </w:p>
        </w:tc>
        <w:tc>
          <w:tcPr>
            <w:tcW w:type="dxa" w:w="1234"/>
          </w:tcPr>
          <w:p>
            <w:r>
              <w:t>+0.008</w:t>
            </w:r>
          </w:p>
        </w:tc>
        <w:tc>
          <w:tcPr>
            <w:tcW w:type="dxa" w:w="1234"/>
          </w:tcPr>
          <w:p>
            <w:r>
              <w:t>26%</w:t>
            </w:r>
          </w:p>
        </w:tc>
        <w:tc>
          <w:tcPr>
            <w:tcW w:type="dxa" w:w="1234"/>
          </w:tcPr>
          <w:p>
            <w:r>
              <w:t>0.206</w:t>
            </w:r>
          </w:p>
        </w:tc>
        <w:tc>
          <w:tcPr>
            <w:tcW w:type="dxa" w:w="1234"/>
          </w:tcPr>
          <w:p>
            <w:r>
              <w:t>0.214</w:t>
            </w:r>
          </w:p>
        </w:tc>
      </w:tr>
      <w:tr>
        <w:tc>
          <w:tcPr>
            <w:tcW w:type="dxa" w:w="1234"/>
          </w:tcPr>
          <w:p>
            <w:r>
              <w:t>GRC</w:t>
            </w:r>
          </w:p>
        </w:tc>
        <w:tc>
          <w:tcPr>
            <w:tcW w:type="dxa" w:w="1234"/>
          </w:tcPr>
          <w:p>
            <w:r>
              <w:t>0.479</w:t>
            </w:r>
          </w:p>
        </w:tc>
        <w:tc>
          <w:tcPr>
            <w:tcW w:type="dxa" w:w="1234"/>
          </w:tcPr>
          <w:p>
            <w:r>
              <w:t>0.404</w:t>
            </w:r>
          </w:p>
        </w:tc>
        <w:tc>
          <w:tcPr>
            <w:tcW w:type="dxa" w:w="1234"/>
          </w:tcPr>
          <w:p>
            <w:r>
              <w:t>+0.075</w:t>
            </w:r>
          </w:p>
        </w:tc>
        <w:tc>
          <w:tcPr>
            <w:tcW w:type="dxa" w:w="1234"/>
          </w:tcPr>
          <w:p>
            <w:r>
              <w:t>66%</w:t>
            </w:r>
          </w:p>
        </w:tc>
        <w:tc>
          <w:tcPr>
            <w:tcW w:type="dxa" w:w="1234"/>
          </w:tcPr>
          <w:p>
            <w:r>
              <w:t>0.200</w:t>
            </w:r>
          </w:p>
        </w:tc>
        <w:tc>
          <w:tcPr>
            <w:tcW w:type="dxa" w:w="1234"/>
          </w:tcPr>
          <w:p>
            <w:r>
              <w:t>0.155</w:t>
            </w:r>
          </w:p>
        </w:tc>
      </w:tr>
    </w:tbl>
    <w:p>
      <w:r>
        <w:t>Pooled: base TVD 0.485 vs adapter 0.501 (3 of 8 improve). Δ&gt;0 = adapter closer to its country's population than the base model.</w:t>
      </w:r>
    </w:p>
    <w:p>
      <w:r>
        <w:drawing>
          <wp:inline xmlns:a="http://schemas.openxmlformats.org/drawingml/2006/main" xmlns:pic="http://schemas.openxmlformats.org/drawingml/2006/picture">
            <wp:extent cx="5852160" cy="27310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delta_tv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31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 · Dimension structure</w:t>
      </w:r>
    </w:p>
    <w:p>
      <w:r>
        <w:drawing>
          <wp:inline xmlns:a="http://schemas.openxmlformats.org/drawingml/2006/main" xmlns:pic="http://schemas.openxmlformats.org/drawingml/2006/picture">
            <wp:extent cx="603504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dim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Altruism is the strongest win dimension (BRA +0.446, GRC +0.588, both 100% of questions improved); patience wins for IND/GRC/NGA/TUR. Negative reciprocity is the consistent loser (NLD −0.363 with 0% improved, TUR −0.157, NGA −0.138). Trust is mixed (NGA +0.079/83% vs IND −0.111). NLD degrades on every dimension.</w:t>
      </w:r>
    </w:p>
    <w:p>
      <w:pPr>
        <w:pStyle w:val="Heading1"/>
      </w:pPr>
      <w:r>
        <w:t>3 · Two layers: preference recovery vs population alignment</w:t>
      </w:r>
    </w:p>
    <w:p>
      <w:r>
        <w:drawing>
          <wp:inline xmlns:a="http://schemas.openxmlformats.org/drawingml/2006/main" xmlns:pic="http://schemas.openxmlformats.org/drawingml/2006/picture">
            <wp:extent cx="512064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two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Reward recovery (held-out DPO pairs, 88.6–97.7%) is a sanity layer: it measures whether DPO moved the policy toward the country's synthetic labels. OOS TVD is the validity layer: whether the resulting distribution resembles the real population. The layers are weakly related — high recovery does not imply alignment (IDN/EGY recover at 88.6% yet degrade on TVD), while NGA and GRC align well. Recovery validates the plumbing; only calibration validates the science.</w:t>
      </w:r>
    </w:p>
    <w:p>
      <w:r>
        <w:drawing>
          <wp:inline xmlns:a="http://schemas.openxmlformats.org/drawingml/2006/main" xmlns:pic="http://schemas.openxmlformats.org/drawingml/2006/picture">
            <wp:extent cx="5852160" cy="27310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fra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31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 · Robustness &amp; caveats</w:t>
      </w:r>
    </w:p>
    <w:p>
      <w:r>
        <w:t>Bootstrap CIs (2,000 reps, per-question resampling) are in survey_metric_bootstrap_summary.csv; ECE in survey_probability_calibration_ece.csv (per-model). Duplicate-preference profiles (sign(z) labeling): IND≡GRC≡LTU and IDN≡EGY have identical training labels — their adapters are effectively one model (IDN_adapter on EGY == EGY_adapter on EGY = 0.578 exactly). EGY scored on 32 items. Unconditioned prompts: matched-vs-cross compares each model's single fixed distribution against each population (distributional alignment, not country-conditioned inference).</w:t>
      </w:r>
    </w:p>
    <w:p>
      <w:pPr>
        <w:pStyle w:val="Heading1"/>
      </w:pPr>
      <w:r>
        <w:t>5 · Comparison with Ksennia's set (CHN, JPN, GBR, US, MEX, ARG, DEU, RUS)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Ksennia's set (qualitative)</w:t>
            </w:r>
          </w:p>
        </w:tc>
        <w:tc>
          <w:tcPr>
            <w:tcW w:type="dxa" w:w="2160"/>
          </w:tcPr>
          <w:p>
            <w:r>
              <w:t>CO2 set (quantitative)</w:t>
            </w:r>
          </w:p>
        </w:tc>
        <w:tc>
          <w:tcPr>
            <w:tcW w:type="dxa" w:w="2160"/>
          </w:tcPr>
          <w:p>
            <w:r>
              <w:t>Consistency</w:t>
            </w:r>
          </w:p>
        </w:tc>
      </w:tr>
      <w:tr>
        <w:tc>
          <w:tcPr>
            <w:tcW w:type="dxa" w:w="2160"/>
          </w:tcPr>
          <w:p>
            <w:r>
              <w:t>Trust</w:t>
            </w:r>
          </w:p>
        </w:tc>
        <w:tc>
          <w:tcPr>
            <w:tcW w:type="dxa" w:w="2160"/>
          </w:tcPr>
          <w:p>
            <w:r>
              <w:t>Best dimension (MEX/ARG/DEU near-perfect); worst for JPN</w:t>
            </w:r>
          </w:p>
        </w:tc>
        <w:tc>
          <w:tcPr>
            <w:tcW w:type="dxa" w:w="2160"/>
          </w:tcPr>
          <w:p>
            <w:r>
              <w:t>Mixed: NGA +0.079/83%, TUR +0.016; IND −0.111, IDN/EGY −0.085</w:t>
            </w:r>
          </w:p>
        </w:tc>
        <w:tc>
          <w:tcPr>
            <w:tcW w:type="dxa" w:w="2160"/>
          </w:tcPr>
          <w:p>
            <w:r>
              <w:t>Dimension-selective, country-heterogeneous</w:t>
            </w:r>
          </w:p>
        </w:tc>
      </w:tr>
      <w:tr>
        <w:tc>
          <w:tcPr>
            <w:tcW w:type="dxa" w:w="2160"/>
          </w:tcPr>
          <w:p>
            <w:r>
              <w:t>Altruism</w:t>
            </w:r>
          </w:p>
        </w:tc>
        <w:tc>
          <w:tcPr>
            <w:tcW w:type="dxa" w:w="2160"/>
          </w:tcPr>
          <w:p>
            <w:r>
              <w:t>Worst dimension (inversions in CHN/USA/DEU/RUS)</w:t>
            </w:r>
          </w:p>
        </w:tc>
        <w:tc>
          <w:tcPr>
            <w:tcW w:type="dxa" w:w="2160"/>
          </w:tcPr>
          <w:p>
            <w:r>
              <w:t>Best win dimension (BRA +0.446, GRC +0.588, 100%)</w:t>
            </w:r>
          </w:p>
        </w:tc>
        <w:tc>
          <w:tcPr>
            <w:tcW w:type="dxa" w:w="2160"/>
          </w:tcPr>
          <w:p>
            <w:r>
              <w:t>Contradicts — CO2 adapters align where hers invert</w:t>
            </w:r>
          </w:p>
        </w:tc>
      </w:tr>
      <w:tr>
        <w:tc>
          <w:tcPr>
            <w:tcW w:type="dxa" w:w="2160"/>
          </w:tcPr>
          <w:p>
            <w:r>
              <w:t>Negative reciprocity</w:t>
            </w:r>
          </w:p>
        </w:tc>
        <w:tc>
          <w:tcPr>
            <w:tcW w:type="dxa" w:w="2160"/>
          </w:tcPr>
          <w:p>
            <w:r>
              <w:t>Poor (mismatched shapes)</w:t>
            </w:r>
          </w:p>
        </w:tc>
        <w:tc>
          <w:tcPr>
            <w:tcW w:type="dxa" w:w="2160"/>
          </w:tcPr>
          <w:p>
            <w:r>
              <w:t>Consistent loser (NLD −0.363, TUR −0.157, NGA −0.138)</w:t>
            </w:r>
          </w:p>
        </w:tc>
        <w:tc>
          <w:tcPr>
            <w:tcW w:type="dxa" w:w="2160"/>
          </w:tcPr>
          <w:p>
            <w:r>
              <w:t>Reinforced</w:t>
            </w:r>
          </w:p>
        </w:tc>
      </w:tr>
      <w:tr>
        <w:tc>
          <w:tcPr>
            <w:tcW w:type="dxa" w:w="2160"/>
          </w:tcPr>
          <w:p>
            <w:r>
              <w:t>Patience</w:t>
            </w:r>
          </w:p>
        </w:tc>
        <w:tc>
          <w:tcPr>
            <w:tcW w:type="dxa" w:w="2160"/>
          </w:tcPr>
          <w:p>
            <w:r>
              <w:t>Poor (inversions in GBR/USA)</w:t>
            </w:r>
          </w:p>
        </w:tc>
        <w:tc>
          <w:tcPr>
            <w:tcW w:type="dxa" w:w="2160"/>
          </w:tcPr>
          <w:p>
            <w:r>
              <w:t>Win for 4/8 (IND +0.150, GRC +0.162); mild loss otherwise</w:t>
            </w:r>
          </w:p>
        </w:tc>
        <w:tc>
          <w:tcPr>
            <w:tcW w:type="dxa" w:w="2160"/>
          </w:tcPr>
          <w:p>
            <w:r>
              <w:t>Mixed</w:t>
            </w:r>
          </w:p>
        </w:tc>
      </w:tr>
      <w:tr>
        <w:tc>
          <w:tcPr>
            <w:tcW w:type="dxa" w:w="2160"/>
          </w:tcPr>
          <w:p>
            <w:r>
              <w:t>Risk taking</w:t>
            </w:r>
          </w:p>
        </w:tc>
        <w:tc>
          <w:tcPr>
            <w:tcW w:type="dxa" w:w="2160"/>
          </w:tcPr>
          <w:p>
            <w:r>
              <w:t>Poor (GBR best); USA near-perfect</w:t>
            </w:r>
          </w:p>
        </w:tc>
        <w:tc>
          <w:tcPr>
            <w:tcW w:type="dxa" w:w="2160"/>
          </w:tcPr>
          <w:p>
            <w:r>
              <w:t>Mild loss everywhere (−0.01 to −0.07)</w:t>
            </w:r>
          </w:p>
        </w:tc>
        <w:tc>
          <w:tcPr>
            <w:tcW w:type="dxa" w:w="2160"/>
          </w:tcPr>
          <w:p>
            <w:r>
              <w:t>Reinforced (weak)</w:t>
            </w:r>
          </w:p>
        </w:tc>
      </w:tr>
      <w:tr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USA degrades; MEX selective (trust great, values poor)</w:t>
            </w:r>
          </w:p>
        </w:tc>
        <w:tc>
          <w:tcPr>
            <w:tcW w:type="dxa" w:w="2160"/>
          </w:tcPr>
          <w:p>
            <w:r>
              <w:t>5/8 degrade (NLD −0.093 worst), 3/8 improve (GRC +0.075 best)</w:t>
            </w:r>
          </w:p>
        </w:tc>
        <w:tc>
          <w:tcPr>
            <w:tcW w:type="dxa" w:w="2160"/>
          </w:tcPr>
          <w:p>
            <w:r>
              <w:t>Reinforced: degradation is the modal outcome; not universal</w:t>
            </w:r>
          </w:p>
        </w:tc>
      </w:tr>
    </w:tbl>
    <w:p>
      <w:r>
        <w:t>Notes: Ksennia's column is a qualitative reading of her distribution grids (her quantitative CSVs were not in the shared document); CO2 numbers are paired per-question mean TVD deltas vs base on matched questions. The USA-adapter degradation from the preliminary 2×2 replicates at scale; the new insight is that the failure is dimension- and country-specific rather than universal — GRC (and BRA's altruism dimension, +0.446/100%) show the mechanism can work when the synthetic sign signal aligns with the population's direction.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