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2A" w:rsidRPr="00570B5D" w:rsidRDefault="00644F54" w:rsidP="00007635">
      <w:pPr>
        <w:pStyle w:val="Title"/>
        <w:spacing w:beforeLines="120" w:afterLines="120" w:line="360" w:lineRule="auto"/>
        <w:ind w:left="0" w:firstLine="0"/>
        <w:jc w:val="both"/>
        <w:rPr>
          <w:lang w:val="en-GB"/>
        </w:rPr>
      </w:pPr>
      <w:r w:rsidRPr="00570B5D">
        <w:rPr>
          <w:lang w:val="en-GB"/>
        </w:rPr>
        <w:t>How has the pandemic affected household finances in developing economies?</w:t>
      </w:r>
    </w:p>
    <w:p w:rsidR="005D3C4C" w:rsidRPr="00570B5D" w:rsidRDefault="00644F54" w:rsidP="00007635">
      <w:pPr>
        <w:pStyle w:val="Heading1"/>
        <w:spacing w:beforeLines="120" w:afterLines="120" w:line="360" w:lineRule="auto"/>
        <w:ind w:left="0"/>
        <w:rPr>
          <w:b w:val="0"/>
          <w:bCs w:val="0"/>
          <w:lang w:val="en-GB"/>
        </w:rPr>
      </w:pPr>
      <w:r w:rsidRPr="00570B5D">
        <w:rPr>
          <w:lang w:val="en-GB"/>
        </w:rPr>
        <w:t xml:space="preserve">Teaser: </w:t>
      </w:r>
      <w:r w:rsidR="00771656" w:rsidRPr="00570B5D">
        <w:rPr>
          <w:b w:val="0"/>
          <w:bCs w:val="0"/>
          <w:i/>
          <w:iCs/>
          <w:lang w:val="en-GB"/>
        </w:rPr>
        <w:t xml:space="preserve">Low levels of savings have made it hard for households in developing </w:t>
      </w:r>
      <w:r w:rsidR="00194215" w:rsidRPr="00570B5D">
        <w:rPr>
          <w:b w:val="0"/>
          <w:bCs w:val="0"/>
          <w:i/>
          <w:iCs/>
          <w:lang w:val="en-GB"/>
        </w:rPr>
        <w:t>countries</w:t>
      </w:r>
      <w:r w:rsidR="00771656" w:rsidRPr="00570B5D">
        <w:rPr>
          <w:b w:val="0"/>
          <w:bCs w:val="0"/>
          <w:i/>
          <w:iCs/>
          <w:lang w:val="en-GB"/>
        </w:rPr>
        <w:t xml:space="preserve"> to adapt to reduced income</w:t>
      </w:r>
      <w:r w:rsidR="000530D4" w:rsidRPr="00570B5D">
        <w:rPr>
          <w:b w:val="0"/>
          <w:bCs w:val="0"/>
          <w:i/>
          <w:iCs/>
          <w:lang w:val="en-GB"/>
        </w:rPr>
        <w:t>s</w:t>
      </w:r>
      <w:r w:rsidR="00771656" w:rsidRPr="00570B5D">
        <w:rPr>
          <w:b w:val="0"/>
          <w:bCs w:val="0"/>
          <w:i/>
          <w:iCs/>
          <w:lang w:val="en-GB"/>
        </w:rPr>
        <w:t xml:space="preserve"> </w:t>
      </w:r>
      <w:r w:rsidR="00194215" w:rsidRPr="00570B5D">
        <w:rPr>
          <w:b w:val="0"/>
          <w:bCs w:val="0"/>
          <w:i/>
          <w:iCs/>
          <w:lang w:val="en-GB"/>
        </w:rPr>
        <w:t>caused</w:t>
      </w:r>
      <w:r w:rsidR="00771656" w:rsidRPr="00570B5D">
        <w:rPr>
          <w:b w:val="0"/>
          <w:bCs w:val="0"/>
          <w:i/>
          <w:iCs/>
          <w:lang w:val="en-GB"/>
        </w:rPr>
        <w:t xml:space="preserve"> by Covid-19. Emergency income support could help </w:t>
      </w:r>
      <w:r w:rsidR="007A7F94" w:rsidRPr="00570B5D">
        <w:rPr>
          <w:b w:val="0"/>
          <w:bCs w:val="0"/>
          <w:i/>
          <w:iCs/>
          <w:lang w:val="en-GB"/>
        </w:rPr>
        <w:t xml:space="preserve">to </w:t>
      </w:r>
      <w:r w:rsidR="00771656" w:rsidRPr="00570B5D">
        <w:rPr>
          <w:b w:val="0"/>
          <w:bCs w:val="0"/>
          <w:i/>
          <w:iCs/>
          <w:lang w:val="en-GB"/>
        </w:rPr>
        <w:t>alleviate hardship, but emerging economies struggle to finance such schemes</w:t>
      </w:r>
      <w:r w:rsidR="002150E2" w:rsidRPr="00570B5D">
        <w:rPr>
          <w:b w:val="0"/>
          <w:bCs w:val="0"/>
          <w:lang w:val="en-GB"/>
        </w:rPr>
        <w:t>.</w:t>
      </w:r>
    </w:p>
    <w:p w:rsidR="005D3C4C" w:rsidRPr="00570B5D" w:rsidRDefault="00644F54" w:rsidP="00007635">
      <w:pPr>
        <w:pStyle w:val="Heading1"/>
        <w:spacing w:beforeLines="120" w:afterLines="120" w:line="360" w:lineRule="auto"/>
        <w:ind w:left="0"/>
        <w:rPr>
          <w:lang w:val="en-GB"/>
        </w:rPr>
      </w:pPr>
      <w:r w:rsidRPr="00570B5D">
        <w:rPr>
          <w:lang w:val="en-GB"/>
        </w:rPr>
        <w:t>Main text:</w:t>
      </w:r>
    </w:p>
    <w:p w:rsidR="005D3C4C" w:rsidRPr="00570B5D" w:rsidRDefault="00BD4BB3" w:rsidP="00007635">
      <w:pPr>
        <w:pStyle w:val="Heading1"/>
        <w:spacing w:beforeLines="120" w:afterLines="120" w:line="360" w:lineRule="auto"/>
        <w:ind w:left="0"/>
        <w:rPr>
          <w:b w:val="0"/>
          <w:bCs w:val="0"/>
          <w:lang w:val="en-GB"/>
        </w:rPr>
      </w:pPr>
      <w:r w:rsidRPr="00570B5D">
        <w:rPr>
          <w:b w:val="0"/>
          <w:bCs w:val="0"/>
          <w:lang w:val="en-GB"/>
        </w:rPr>
        <w:t xml:space="preserve">Around the world, </w:t>
      </w:r>
      <w:r w:rsidR="009A2EF9">
        <w:rPr>
          <w:b w:val="0"/>
          <w:bCs w:val="0"/>
          <w:lang w:val="en-GB"/>
        </w:rPr>
        <w:t xml:space="preserve">Covid-19 </w:t>
      </w:r>
      <w:r w:rsidRPr="00570B5D">
        <w:rPr>
          <w:b w:val="0"/>
          <w:bCs w:val="0"/>
          <w:lang w:val="en-GB"/>
        </w:rPr>
        <w:t xml:space="preserve">has exposed the fragility of households’ economic and financial wellbeing. Policies </w:t>
      </w:r>
      <w:r w:rsidR="003C55F4" w:rsidRPr="00570B5D">
        <w:rPr>
          <w:b w:val="0"/>
          <w:bCs w:val="0"/>
          <w:lang w:val="en-GB"/>
        </w:rPr>
        <w:t xml:space="preserve">implemented </w:t>
      </w:r>
      <w:r w:rsidRPr="00570B5D">
        <w:rPr>
          <w:b w:val="0"/>
          <w:bCs w:val="0"/>
          <w:lang w:val="en-GB"/>
        </w:rPr>
        <w:t xml:space="preserve">to contain the </w:t>
      </w:r>
      <w:r w:rsidR="009A2EF9">
        <w:rPr>
          <w:b w:val="0"/>
          <w:bCs w:val="0"/>
          <w:lang w:val="en-GB"/>
        </w:rPr>
        <w:t xml:space="preserve">pandemic </w:t>
      </w:r>
      <w:r w:rsidRPr="00570B5D">
        <w:rPr>
          <w:b w:val="0"/>
          <w:bCs w:val="0"/>
          <w:lang w:val="en-GB"/>
        </w:rPr>
        <w:t>have restricted vast numbers of individuals from being able to earn,</w:t>
      </w:r>
      <w:r w:rsidR="003C55F4" w:rsidRPr="00570B5D">
        <w:rPr>
          <w:b w:val="0"/>
          <w:bCs w:val="0"/>
          <w:lang w:val="en-GB"/>
        </w:rPr>
        <w:t xml:space="preserve"> and this</w:t>
      </w:r>
      <w:r w:rsidRPr="00570B5D">
        <w:rPr>
          <w:b w:val="0"/>
          <w:bCs w:val="0"/>
          <w:lang w:val="en-GB"/>
        </w:rPr>
        <w:t xml:space="preserve"> has threatened households’ economic security</w:t>
      </w:r>
      <w:r w:rsidR="00F515E7" w:rsidRPr="00570B5D">
        <w:rPr>
          <w:b w:val="0"/>
          <w:bCs w:val="0"/>
          <w:lang w:val="en-GB"/>
        </w:rPr>
        <w:t xml:space="preserve">. </w:t>
      </w:r>
      <w:r w:rsidR="006200DB" w:rsidRPr="00570B5D">
        <w:rPr>
          <w:b w:val="0"/>
          <w:bCs w:val="0"/>
          <w:lang w:val="en-GB"/>
        </w:rPr>
        <w:t>Policy-makers have had to balance the need to limit the spread of the virus with economic considerations. These</w:t>
      </w:r>
      <w:r w:rsidR="00194215" w:rsidRPr="00570B5D">
        <w:rPr>
          <w:b w:val="0"/>
          <w:bCs w:val="0"/>
          <w:lang w:val="en-GB"/>
        </w:rPr>
        <w:t xml:space="preserve"> </w:t>
      </w:r>
      <w:r w:rsidR="006200DB" w:rsidRPr="00570B5D">
        <w:rPr>
          <w:b w:val="0"/>
          <w:bCs w:val="0"/>
          <w:lang w:val="en-GB"/>
        </w:rPr>
        <w:t>include h</w:t>
      </w:r>
      <w:r w:rsidRPr="00570B5D">
        <w:rPr>
          <w:b w:val="0"/>
          <w:bCs w:val="0"/>
          <w:lang w:val="en-GB"/>
        </w:rPr>
        <w:t xml:space="preserve">ow long the average household </w:t>
      </w:r>
      <w:r w:rsidR="006200DB" w:rsidRPr="00570B5D">
        <w:rPr>
          <w:b w:val="0"/>
          <w:bCs w:val="0"/>
          <w:lang w:val="en-GB"/>
        </w:rPr>
        <w:t xml:space="preserve">can </w:t>
      </w:r>
      <w:r w:rsidRPr="00570B5D">
        <w:rPr>
          <w:b w:val="0"/>
          <w:bCs w:val="0"/>
          <w:lang w:val="en-GB"/>
        </w:rPr>
        <w:t>cope with lockdown-induced disruption</w:t>
      </w:r>
      <w:r w:rsidR="007A7F94" w:rsidRPr="00570B5D">
        <w:rPr>
          <w:b w:val="0"/>
          <w:bCs w:val="0"/>
          <w:lang w:val="en-GB"/>
        </w:rPr>
        <w:t>s</w:t>
      </w:r>
      <w:r w:rsidRPr="00570B5D">
        <w:rPr>
          <w:b w:val="0"/>
          <w:bCs w:val="0"/>
          <w:lang w:val="en-GB"/>
        </w:rPr>
        <w:t xml:space="preserve"> to income </w:t>
      </w:r>
      <w:r w:rsidR="006200DB" w:rsidRPr="00570B5D">
        <w:rPr>
          <w:b w:val="0"/>
          <w:bCs w:val="0"/>
          <w:lang w:val="en-GB"/>
        </w:rPr>
        <w:t>and w</w:t>
      </w:r>
      <w:r w:rsidRPr="00570B5D">
        <w:rPr>
          <w:b w:val="0"/>
          <w:bCs w:val="0"/>
          <w:lang w:val="en-GB"/>
        </w:rPr>
        <w:t xml:space="preserve">hat fraction of households </w:t>
      </w:r>
      <w:r w:rsidR="006200DB" w:rsidRPr="00570B5D">
        <w:rPr>
          <w:b w:val="0"/>
          <w:bCs w:val="0"/>
          <w:lang w:val="en-GB"/>
        </w:rPr>
        <w:t xml:space="preserve">can draw on savings before they need to access </w:t>
      </w:r>
      <w:r w:rsidRPr="00570B5D">
        <w:rPr>
          <w:b w:val="0"/>
          <w:bCs w:val="0"/>
          <w:lang w:val="en-GB"/>
        </w:rPr>
        <w:t>government support</w:t>
      </w:r>
      <w:r w:rsidR="006200DB" w:rsidRPr="00570B5D">
        <w:rPr>
          <w:b w:val="0"/>
          <w:bCs w:val="0"/>
          <w:lang w:val="en-GB"/>
        </w:rPr>
        <w:t>.</w:t>
      </w:r>
      <w:r w:rsidR="00D32DCE" w:rsidRPr="00570B5D">
        <w:rPr>
          <w:b w:val="0"/>
          <w:bCs w:val="0"/>
          <w:lang w:val="en-GB"/>
        </w:rPr>
        <w:t xml:space="preserve"> </w:t>
      </w:r>
    </w:p>
    <w:p w:rsidR="005D3C4C" w:rsidRPr="00570B5D" w:rsidRDefault="008C2997" w:rsidP="00007635">
      <w:pPr>
        <w:pStyle w:val="BodyText"/>
        <w:spacing w:beforeLines="120" w:afterLines="120" w:line="360" w:lineRule="auto"/>
        <w:ind w:right="103"/>
        <w:jc w:val="both"/>
        <w:rPr>
          <w:lang w:val="en-GB"/>
        </w:rPr>
      </w:pPr>
      <w:r w:rsidRPr="00570B5D">
        <w:rPr>
          <w:lang w:val="en-GB"/>
        </w:rPr>
        <w:t>Our e</w:t>
      </w:r>
      <w:r w:rsidR="00D32DCE" w:rsidRPr="00570B5D">
        <w:rPr>
          <w:lang w:val="en-GB"/>
        </w:rPr>
        <w:t xml:space="preserve">vidence suggests </w:t>
      </w:r>
      <w:r w:rsidR="007A7F94" w:rsidRPr="00570B5D">
        <w:rPr>
          <w:lang w:val="en-GB"/>
        </w:rPr>
        <w:t xml:space="preserve">that </w:t>
      </w:r>
      <w:r w:rsidR="00D32DCE" w:rsidRPr="00570B5D">
        <w:rPr>
          <w:lang w:val="en-GB"/>
        </w:rPr>
        <w:t xml:space="preserve">a large part of the world’s population have insufficient savings to weather an income shock. Indeed, financing an income shortfall for a period of three months would lead to a complete depletion of liquid financial assets for </w:t>
      </w:r>
      <w:r w:rsidR="00194215" w:rsidRPr="00570B5D">
        <w:rPr>
          <w:lang w:val="en-GB"/>
        </w:rPr>
        <w:t xml:space="preserve">a third of </w:t>
      </w:r>
      <w:r w:rsidR="00D32DCE" w:rsidRPr="00570B5D">
        <w:rPr>
          <w:lang w:val="en-GB"/>
        </w:rPr>
        <w:t>household</w:t>
      </w:r>
      <w:r w:rsidR="00194215" w:rsidRPr="00570B5D">
        <w:rPr>
          <w:lang w:val="en-GB"/>
        </w:rPr>
        <w:t>s</w:t>
      </w:r>
      <w:r w:rsidR="00D32DCE" w:rsidRPr="00570B5D">
        <w:rPr>
          <w:lang w:val="en-GB"/>
        </w:rPr>
        <w:t xml:space="preserve"> </w:t>
      </w:r>
      <w:r w:rsidRPr="00570B5D">
        <w:rPr>
          <w:lang w:val="en-GB"/>
        </w:rPr>
        <w:t xml:space="preserve">in our </w:t>
      </w:r>
      <w:r w:rsidR="00055C37" w:rsidRPr="00570B5D">
        <w:rPr>
          <w:lang w:val="en-GB"/>
        </w:rPr>
        <w:t xml:space="preserve">global </w:t>
      </w:r>
      <w:r w:rsidRPr="00570B5D">
        <w:rPr>
          <w:lang w:val="en-GB"/>
        </w:rPr>
        <w:t>sample</w:t>
      </w:r>
      <w:r w:rsidR="00D32DCE" w:rsidRPr="00570B5D">
        <w:rPr>
          <w:lang w:val="en-GB"/>
        </w:rPr>
        <w:t>.</w:t>
      </w:r>
      <w:r w:rsidR="00F515E7" w:rsidRPr="00570B5D">
        <w:rPr>
          <w:lang w:val="en-GB"/>
        </w:rPr>
        <w:t xml:space="preserve"> </w:t>
      </w:r>
      <w:r w:rsidR="00BD4BB3" w:rsidRPr="00570B5D">
        <w:rPr>
          <w:lang w:val="en-GB"/>
        </w:rPr>
        <w:t xml:space="preserve">To determine effective policy, understanding </w:t>
      </w:r>
      <w:r w:rsidR="00771656" w:rsidRPr="00570B5D">
        <w:rPr>
          <w:lang w:val="en-GB"/>
        </w:rPr>
        <w:t xml:space="preserve">the resilience of households to severe income shocks </w:t>
      </w:r>
      <w:r w:rsidRPr="00570B5D">
        <w:rPr>
          <w:lang w:val="en-GB"/>
        </w:rPr>
        <w:t xml:space="preserve">remains </w:t>
      </w:r>
      <w:r w:rsidR="00771656" w:rsidRPr="00570B5D">
        <w:rPr>
          <w:lang w:val="en-GB"/>
        </w:rPr>
        <w:t>essential</w:t>
      </w:r>
      <w:r w:rsidRPr="00570B5D">
        <w:rPr>
          <w:lang w:val="en-GB"/>
        </w:rPr>
        <w:t xml:space="preserve"> for </w:t>
      </w:r>
      <w:r w:rsidR="00DD0DFF">
        <w:rPr>
          <w:lang w:val="en-GB"/>
        </w:rPr>
        <w:t>any future economic disruptions</w:t>
      </w:r>
      <w:r w:rsidR="00F362C3" w:rsidRPr="00570B5D">
        <w:rPr>
          <w:lang w:val="en-GB"/>
        </w:rPr>
        <w:t xml:space="preserve">, such as those </w:t>
      </w:r>
      <w:r w:rsidRPr="00570B5D">
        <w:rPr>
          <w:lang w:val="en-GB"/>
        </w:rPr>
        <w:t>result</w:t>
      </w:r>
      <w:r w:rsidR="00F362C3" w:rsidRPr="00570B5D">
        <w:rPr>
          <w:lang w:val="en-GB"/>
        </w:rPr>
        <w:t>ing from</w:t>
      </w:r>
      <w:r w:rsidRPr="00570B5D">
        <w:rPr>
          <w:lang w:val="en-GB"/>
        </w:rPr>
        <w:t xml:space="preserve"> the looming climate </w:t>
      </w:r>
      <w:r w:rsidR="003E38D0" w:rsidRPr="00570B5D">
        <w:rPr>
          <w:lang w:val="en-GB"/>
        </w:rPr>
        <w:t>crisis</w:t>
      </w:r>
      <w:r w:rsidR="00771656" w:rsidRPr="00570B5D">
        <w:rPr>
          <w:lang w:val="en-GB"/>
        </w:rPr>
        <w:t xml:space="preserve">. </w:t>
      </w:r>
    </w:p>
    <w:p w:rsidR="00570354" w:rsidRDefault="00BE0136" w:rsidP="00007635">
      <w:pPr>
        <w:pStyle w:val="Heading1"/>
        <w:spacing w:beforeLines="120" w:afterLines="120" w:line="360" w:lineRule="auto"/>
        <w:ind w:left="0"/>
        <w:rPr>
          <w:b w:val="0"/>
          <w:bCs w:val="0"/>
          <w:lang w:val="en-GB"/>
        </w:rPr>
      </w:pPr>
      <w:r w:rsidRPr="00570B5D">
        <w:rPr>
          <w:b w:val="0"/>
          <w:bCs w:val="0"/>
          <w:lang w:val="en-GB"/>
        </w:rPr>
        <w:t>One</w:t>
      </w:r>
      <w:r w:rsidR="00BD4BB3" w:rsidRPr="00570B5D">
        <w:rPr>
          <w:b w:val="0"/>
          <w:bCs w:val="0"/>
          <w:lang w:val="en-GB"/>
        </w:rPr>
        <w:t xml:space="preserve"> important policy instrument </w:t>
      </w:r>
      <w:r w:rsidR="00600797" w:rsidRPr="00570B5D">
        <w:rPr>
          <w:b w:val="0"/>
          <w:bCs w:val="0"/>
          <w:lang w:val="en-GB"/>
        </w:rPr>
        <w:t>during</w:t>
      </w:r>
      <w:r w:rsidR="00BD4BB3" w:rsidRPr="00570B5D">
        <w:rPr>
          <w:b w:val="0"/>
          <w:bCs w:val="0"/>
          <w:lang w:val="en-GB"/>
        </w:rPr>
        <w:t xml:space="preserve"> </w:t>
      </w:r>
      <w:r w:rsidR="00ED740E" w:rsidRPr="00570B5D">
        <w:rPr>
          <w:b w:val="0"/>
          <w:bCs w:val="0"/>
          <w:lang w:val="en-GB"/>
        </w:rPr>
        <w:t xml:space="preserve">such </w:t>
      </w:r>
      <w:r w:rsidR="00BD4BB3" w:rsidRPr="00570B5D">
        <w:rPr>
          <w:b w:val="0"/>
          <w:bCs w:val="0"/>
          <w:lang w:val="en-GB"/>
        </w:rPr>
        <w:t>emergenc</w:t>
      </w:r>
      <w:r w:rsidR="00ED740E" w:rsidRPr="00570B5D">
        <w:rPr>
          <w:b w:val="0"/>
          <w:bCs w:val="0"/>
          <w:lang w:val="en-GB"/>
        </w:rPr>
        <w:t>ies</w:t>
      </w:r>
      <w:r w:rsidR="00BD4BB3" w:rsidRPr="00570B5D">
        <w:rPr>
          <w:b w:val="0"/>
          <w:bCs w:val="0"/>
          <w:lang w:val="en-GB"/>
        </w:rPr>
        <w:t xml:space="preserve"> </w:t>
      </w:r>
      <w:r w:rsidR="00ED740E" w:rsidRPr="00570B5D">
        <w:rPr>
          <w:b w:val="0"/>
          <w:bCs w:val="0"/>
          <w:lang w:val="en-GB"/>
        </w:rPr>
        <w:t xml:space="preserve">is the direct </w:t>
      </w:r>
      <w:r w:rsidR="009B6FF1" w:rsidRPr="00570B5D">
        <w:rPr>
          <w:b w:val="0"/>
          <w:bCs w:val="0"/>
          <w:lang w:val="en-GB"/>
        </w:rPr>
        <w:t xml:space="preserve">financial </w:t>
      </w:r>
      <w:r w:rsidR="00BD4BB3" w:rsidRPr="00570B5D">
        <w:rPr>
          <w:b w:val="0"/>
          <w:bCs w:val="0"/>
          <w:lang w:val="en-GB"/>
        </w:rPr>
        <w:t>support to households</w:t>
      </w:r>
      <w:r w:rsidR="00260C7D" w:rsidRPr="00570B5D">
        <w:rPr>
          <w:b w:val="0"/>
          <w:bCs w:val="0"/>
          <w:lang w:val="en-GB"/>
        </w:rPr>
        <w:t>.</w:t>
      </w:r>
      <w:r w:rsidR="00F8417B" w:rsidRPr="00570B5D">
        <w:rPr>
          <w:b w:val="0"/>
          <w:bCs w:val="0"/>
          <w:lang w:val="en-GB"/>
        </w:rPr>
        <w:t xml:space="preserve"> </w:t>
      </w:r>
      <w:r w:rsidR="00260C7D" w:rsidRPr="00570B5D">
        <w:rPr>
          <w:b w:val="0"/>
          <w:bCs w:val="0"/>
          <w:lang w:val="en-GB"/>
        </w:rPr>
        <w:t>B</w:t>
      </w:r>
      <w:r w:rsidR="00F8417B" w:rsidRPr="00570B5D">
        <w:rPr>
          <w:b w:val="0"/>
          <w:bCs w:val="0"/>
          <w:lang w:val="en-GB"/>
        </w:rPr>
        <w:t>ut the extent to which countries can provide this</w:t>
      </w:r>
      <w:r w:rsidR="00260C7D" w:rsidRPr="00570B5D">
        <w:rPr>
          <w:b w:val="0"/>
          <w:bCs w:val="0"/>
          <w:lang w:val="en-GB"/>
        </w:rPr>
        <w:t xml:space="preserve"> type of support</w:t>
      </w:r>
      <w:r w:rsidR="00F8417B" w:rsidRPr="00570B5D">
        <w:rPr>
          <w:b w:val="0"/>
          <w:bCs w:val="0"/>
          <w:lang w:val="en-GB"/>
        </w:rPr>
        <w:t xml:space="preserve"> varies</w:t>
      </w:r>
      <w:r w:rsidR="00260C7D" w:rsidRPr="00570B5D">
        <w:rPr>
          <w:b w:val="0"/>
          <w:bCs w:val="0"/>
          <w:lang w:val="en-GB"/>
        </w:rPr>
        <w:t>, n</w:t>
      </w:r>
      <w:r w:rsidR="00F8417B" w:rsidRPr="00570B5D">
        <w:rPr>
          <w:b w:val="0"/>
          <w:bCs w:val="0"/>
          <w:lang w:val="en-GB"/>
        </w:rPr>
        <w:t>ot least because of the differences in their capacity to take on debt to finance such a scheme.</w:t>
      </w:r>
    </w:p>
    <w:p w:rsidR="005D3C4C" w:rsidRPr="00570B5D" w:rsidRDefault="00BD4BB3" w:rsidP="00007635">
      <w:pPr>
        <w:pStyle w:val="Heading1"/>
        <w:spacing w:beforeLines="120" w:afterLines="120" w:line="360" w:lineRule="auto"/>
        <w:ind w:left="0"/>
        <w:rPr>
          <w:b w:val="0"/>
          <w:bCs w:val="0"/>
          <w:lang w:val="en-GB"/>
        </w:rPr>
      </w:pPr>
      <w:r w:rsidRPr="00570B5D">
        <w:rPr>
          <w:b w:val="0"/>
          <w:bCs w:val="0"/>
          <w:lang w:val="en-GB"/>
        </w:rPr>
        <w:t>While advanced economies usually have the ability to access global capital markets quickly and at a reasonable cost, emerging economies are seldom permitted this luxury</w:t>
      </w:r>
      <w:r w:rsidR="00260C7D" w:rsidRPr="00570B5D">
        <w:rPr>
          <w:b w:val="0"/>
          <w:bCs w:val="0"/>
          <w:lang w:val="en-GB"/>
        </w:rPr>
        <w:t xml:space="preserve"> and face higher rates on loans.</w:t>
      </w:r>
      <w:r w:rsidR="000967D0" w:rsidRPr="00570B5D">
        <w:rPr>
          <w:b w:val="0"/>
          <w:bCs w:val="0"/>
          <w:lang w:val="en-GB"/>
        </w:rPr>
        <w:t xml:space="preserve"> For example, while Germany, Switzerland and the UK </w:t>
      </w:r>
      <w:r w:rsidR="00ED53EC" w:rsidRPr="00570B5D">
        <w:rPr>
          <w:b w:val="0"/>
          <w:bCs w:val="0"/>
          <w:lang w:val="en-GB"/>
        </w:rPr>
        <w:t>can</w:t>
      </w:r>
      <w:r w:rsidR="000967D0" w:rsidRPr="00570B5D">
        <w:rPr>
          <w:b w:val="0"/>
          <w:bCs w:val="0"/>
          <w:lang w:val="en-GB"/>
        </w:rPr>
        <w:t xml:space="preserve"> borrow virtually at zero cost, the rates on government debt reach 6% </w:t>
      </w:r>
      <w:r w:rsidR="00916DD9" w:rsidRPr="00570B5D">
        <w:rPr>
          <w:b w:val="0"/>
          <w:bCs w:val="0"/>
          <w:lang w:val="en-GB"/>
        </w:rPr>
        <w:t xml:space="preserve">per year </w:t>
      </w:r>
      <w:r w:rsidR="000967D0" w:rsidRPr="00570B5D">
        <w:rPr>
          <w:b w:val="0"/>
          <w:bCs w:val="0"/>
          <w:lang w:val="en-GB"/>
        </w:rPr>
        <w:t>for India, 7% for Mexico and 9% for Brazil</w:t>
      </w:r>
      <w:r w:rsidR="00C27AC8" w:rsidRPr="00570B5D">
        <w:rPr>
          <w:b w:val="0"/>
          <w:bCs w:val="0"/>
          <w:lang w:val="en-GB"/>
        </w:rPr>
        <w:t xml:space="preserve"> (</w:t>
      </w:r>
      <w:hyperlink r:id="rId7" w:history="1">
        <w:r w:rsidR="00C27AC8" w:rsidRPr="00570B5D">
          <w:rPr>
            <w:rStyle w:val="Hyperlink"/>
            <w:b w:val="0"/>
            <w:bCs w:val="0"/>
            <w:lang w:val="en-GB"/>
          </w:rPr>
          <w:t>Bloomberg</w:t>
        </w:r>
      </w:hyperlink>
      <w:r w:rsidR="00570B5D">
        <w:rPr>
          <w:b w:val="0"/>
          <w:bCs w:val="0"/>
          <w:lang w:val="en-GB"/>
        </w:rPr>
        <w:t>, 2021</w:t>
      </w:r>
      <w:r w:rsidR="00C27AC8" w:rsidRPr="00570B5D">
        <w:rPr>
          <w:b w:val="0"/>
          <w:bCs w:val="0"/>
          <w:lang w:val="en-GB"/>
        </w:rPr>
        <w:t>)</w:t>
      </w:r>
      <w:r w:rsidR="000967D0" w:rsidRPr="00570B5D">
        <w:rPr>
          <w:b w:val="0"/>
          <w:bCs w:val="0"/>
          <w:lang w:val="en-GB"/>
        </w:rPr>
        <w:t>.</w:t>
      </w:r>
      <w:r w:rsidR="00260C7D" w:rsidRPr="00570B5D">
        <w:rPr>
          <w:b w:val="0"/>
          <w:bCs w:val="0"/>
          <w:lang w:val="en-GB"/>
        </w:rPr>
        <w:t xml:space="preserve"> This ‘credit constraint’ can </w:t>
      </w:r>
      <w:r w:rsidR="00075431" w:rsidRPr="00570B5D">
        <w:rPr>
          <w:b w:val="0"/>
          <w:bCs w:val="0"/>
          <w:lang w:val="en-GB"/>
        </w:rPr>
        <w:t>particularly</w:t>
      </w:r>
      <w:r w:rsidR="000967D0" w:rsidRPr="00570B5D">
        <w:rPr>
          <w:b w:val="0"/>
          <w:bCs w:val="0"/>
          <w:lang w:val="en-GB"/>
        </w:rPr>
        <w:t xml:space="preserve"> </w:t>
      </w:r>
      <w:r w:rsidR="00260C7D" w:rsidRPr="00570B5D">
        <w:rPr>
          <w:b w:val="0"/>
          <w:bCs w:val="0"/>
          <w:lang w:val="en-GB"/>
        </w:rPr>
        <w:t xml:space="preserve">limit the </w:t>
      </w:r>
      <w:r w:rsidR="008C1D86" w:rsidRPr="00570B5D">
        <w:rPr>
          <w:b w:val="0"/>
          <w:bCs w:val="0"/>
          <w:lang w:val="en-GB"/>
        </w:rPr>
        <w:t>space</w:t>
      </w:r>
      <w:r w:rsidR="00260C7D" w:rsidRPr="00570B5D">
        <w:rPr>
          <w:b w:val="0"/>
          <w:bCs w:val="0"/>
          <w:lang w:val="en-GB"/>
        </w:rPr>
        <w:t xml:space="preserve"> </w:t>
      </w:r>
      <w:r w:rsidR="00DD6854" w:rsidRPr="00570B5D">
        <w:rPr>
          <w:b w:val="0"/>
          <w:bCs w:val="0"/>
          <w:lang w:val="en-GB"/>
        </w:rPr>
        <w:t>for government action</w:t>
      </w:r>
      <w:r w:rsidR="00260C7D" w:rsidRPr="00570B5D">
        <w:rPr>
          <w:b w:val="0"/>
          <w:bCs w:val="0"/>
          <w:lang w:val="en-GB"/>
        </w:rPr>
        <w:t xml:space="preserve"> in emerging economies</w:t>
      </w:r>
      <w:r w:rsidR="00F008FE" w:rsidRPr="00570B5D">
        <w:rPr>
          <w:b w:val="0"/>
          <w:bCs w:val="0"/>
          <w:lang w:val="en-GB"/>
        </w:rPr>
        <w:t xml:space="preserve"> (</w:t>
      </w:r>
      <w:hyperlink r:id="rId8" w:history="1">
        <w:r w:rsidR="00F008FE" w:rsidRPr="00570B5D">
          <w:rPr>
            <w:rStyle w:val="Hyperlink"/>
            <w:b w:val="0"/>
            <w:bCs w:val="0"/>
            <w:lang w:val="en-GB"/>
          </w:rPr>
          <w:t xml:space="preserve">Kose et al, </w:t>
        </w:r>
        <w:r w:rsidR="00570B5D">
          <w:rPr>
            <w:rStyle w:val="Hyperlink"/>
            <w:b w:val="0"/>
            <w:bCs w:val="0"/>
            <w:lang w:val="en-GB"/>
          </w:rPr>
          <w:t>2017</w:t>
        </w:r>
      </w:hyperlink>
      <w:r w:rsidR="00F008FE" w:rsidRPr="00570B5D">
        <w:rPr>
          <w:b w:val="0"/>
          <w:bCs w:val="0"/>
          <w:lang w:val="en-GB"/>
        </w:rPr>
        <w:t>)</w:t>
      </w:r>
      <w:r w:rsidR="00260C7D" w:rsidRPr="00570B5D">
        <w:rPr>
          <w:b w:val="0"/>
          <w:bCs w:val="0"/>
          <w:lang w:val="en-GB"/>
        </w:rPr>
        <w:t xml:space="preserve">. </w:t>
      </w:r>
    </w:p>
    <w:p w:rsidR="005D3C4C" w:rsidRPr="00570B5D" w:rsidRDefault="008C38FB" w:rsidP="00007635">
      <w:pPr>
        <w:pStyle w:val="BodyText"/>
        <w:spacing w:beforeLines="120" w:afterLines="120" w:line="360" w:lineRule="auto"/>
        <w:ind w:right="100"/>
        <w:jc w:val="both"/>
        <w:rPr>
          <w:b/>
          <w:bCs/>
          <w:lang w:val="en-GB"/>
        </w:rPr>
      </w:pPr>
      <w:r w:rsidRPr="00570B5D">
        <w:rPr>
          <w:lang w:val="en-GB"/>
        </w:rPr>
        <w:t xml:space="preserve">But </w:t>
      </w:r>
      <w:r w:rsidR="00255121" w:rsidRPr="00570B5D">
        <w:rPr>
          <w:lang w:val="en-GB"/>
        </w:rPr>
        <w:t>even if governments can access capital quickly and at scale, w</w:t>
      </w:r>
      <w:r w:rsidR="00BD4BB3" w:rsidRPr="00570B5D">
        <w:rPr>
          <w:lang w:val="en-GB"/>
        </w:rPr>
        <w:t>ithout a clear understanding of household</w:t>
      </w:r>
      <w:r w:rsidR="00570354">
        <w:rPr>
          <w:lang w:val="en-GB"/>
        </w:rPr>
        <w:t>s’</w:t>
      </w:r>
      <w:r w:rsidR="00BD4BB3" w:rsidRPr="00570B5D">
        <w:rPr>
          <w:lang w:val="en-GB"/>
        </w:rPr>
        <w:t xml:space="preserve"> financial circumstances and resources, </w:t>
      </w:r>
      <w:r w:rsidR="00255121" w:rsidRPr="00570B5D">
        <w:rPr>
          <w:lang w:val="en-GB"/>
        </w:rPr>
        <w:t>direct</w:t>
      </w:r>
      <w:r w:rsidR="00BD4BB3" w:rsidRPr="00570B5D">
        <w:rPr>
          <w:lang w:val="en-GB"/>
        </w:rPr>
        <w:t xml:space="preserve"> support mechanisms are blunt instruments</w:t>
      </w:r>
      <w:r w:rsidR="00260C7D" w:rsidRPr="00570B5D">
        <w:rPr>
          <w:lang w:val="en-GB"/>
        </w:rPr>
        <w:t>,</w:t>
      </w:r>
      <w:r w:rsidR="00BD4BB3" w:rsidRPr="00570B5D">
        <w:rPr>
          <w:lang w:val="en-GB"/>
        </w:rPr>
        <w:t xml:space="preserve"> </w:t>
      </w:r>
      <w:r w:rsidR="00F37DCF" w:rsidRPr="00570B5D">
        <w:rPr>
          <w:lang w:val="en-GB"/>
        </w:rPr>
        <w:t xml:space="preserve">often </w:t>
      </w:r>
      <w:r w:rsidR="00260C7D" w:rsidRPr="00570B5D">
        <w:rPr>
          <w:lang w:val="en-GB"/>
        </w:rPr>
        <w:t xml:space="preserve">unable to </w:t>
      </w:r>
      <w:r w:rsidR="00BD4BB3" w:rsidRPr="00570B5D">
        <w:rPr>
          <w:lang w:val="en-GB"/>
        </w:rPr>
        <w:t xml:space="preserve">target </w:t>
      </w:r>
      <w:r w:rsidR="00260C7D" w:rsidRPr="00570B5D">
        <w:rPr>
          <w:lang w:val="en-GB"/>
        </w:rPr>
        <w:t xml:space="preserve">with accuracy </w:t>
      </w:r>
      <w:r w:rsidR="00BD4BB3" w:rsidRPr="00570B5D">
        <w:rPr>
          <w:lang w:val="en-GB"/>
        </w:rPr>
        <w:t xml:space="preserve">those most </w:t>
      </w:r>
      <w:r w:rsidR="00EB5FD8">
        <w:rPr>
          <w:lang w:val="en-GB"/>
        </w:rPr>
        <w:t xml:space="preserve">in </w:t>
      </w:r>
      <w:r w:rsidR="00BD4BB3" w:rsidRPr="00570B5D">
        <w:rPr>
          <w:lang w:val="en-GB"/>
        </w:rPr>
        <w:t>need.</w:t>
      </w:r>
    </w:p>
    <w:p w:rsidR="00194215" w:rsidRPr="00570B5D" w:rsidRDefault="00194215" w:rsidP="00007635">
      <w:pPr>
        <w:pStyle w:val="BodyText"/>
        <w:spacing w:beforeLines="120" w:afterLines="120" w:line="360" w:lineRule="auto"/>
        <w:ind w:right="99"/>
        <w:jc w:val="both"/>
        <w:rPr>
          <w:b/>
          <w:bCs/>
          <w:lang w:val="en-GB"/>
        </w:rPr>
      </w:pPr>
    </w:p>
    <w:p w:rsidR="005D3C4C" w:rsidRPr="00570B5D" w:rsidRDefault="00771656" w:rsidP="00007635">
      <w:pPr>
        <w:pStyle w:val="BodyText"/>
        <w:spacing w:beforeLines="120" w:afterLines="120" w:line="360" w:lineRule="auto"/>
        <w:ind w:right="99"/>
        <w:jc w:val="both"/>
        <w:rPr>
          <w:b/>
          <w:bCs/>
          <w:lang w:val="en-GB"/>
        </w:rPr>
      </w:pPr>
      <w:r w:rsidRPr="00570B5D">
        <w:rPr>
          <w:b/>
          <w:bCs/>
          <w:lang w:val="en-GB"/>
        </w:rPr>
        <w:t xml:space="preserve">What does the evidence tell us? 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99"/>
        <w:jc w:val="both"/>
        <w:rPr>
          <w:lang w:val="en-GB"/>
        </w:rPr>
      </w:pPr>
      <w:r w:rsidRPr="00570B5D">
        <w:rPr>
          <w:lang w:val="en-GB"/>
        </w:rPr>
        <w:t xml:space="preserve">Since early 2020, </w:t>
      </w:r>
      <w:r w:rsidR="00F230A0" w:rsidRPr="00570B5D">
        <w:rPr>
          <w:lang w:val="en-GB"/>
        </w:rPr>
        <w:t xml:space="preserve">a number of </w:t>
      </w:r>
      <w:r w:rsidRPr="00570B5D">
        <w:rPr>
          <w:lang w:val="en-GB"/>
        </w:rPr>
        <w:t xml:space="preserve">studies have </w:t>
      </w:r>
      <w:r w:rsidR="000F1DC7" w:rsidRPr="00570B5D">
        <w:rPr>
          <w:lang w:val="en-GB"/>
        </w:rPr>
        <w:t>explor</w:t>
      </w:r>
      <w:r w:rsidRPr="00570B5D">
        <w:rPr>
          <w:lang w:val="en-GB"/>
        </w:rPr>
        <w:t>ed households</w:t>
      </w:r>
      <w:r w:rsidR="00F230A0" w:rsidRPr="00570B5D">
        <w:rPr>
          <w:lang w:val="en-GB"/>
        </w:rPr>
        <w:t>’</w:t>
      </w:r>
      <w:r w:rsidRPr="00570B5D">
        <w:rPr>
          <w:lang w:val="en-GB"/>
        </w:rPr>
        <w:t xml:space="preserve"> </w:t>
      </w:r>
      <w:r w:rsidR="00F230A0" w:rsidRPr="00570B5D">
        <w:rPr>
          <w:lang w:val="en-GB"/>
        </w:rPr>
        <w:t xml:space="preserve">ability to </w:t>
      </w:r>
      <w:r w:rsidRPr="00570B5D">
        <w:rPr>
          <w:lang w:val="en-GB"/>
        </w:rPr>
        <w:t xml:space="preserve">cope with the economic costs of the pandemic. Typically, these use high-frequency data for a non-representative sample of households within specific countries to learn about how </w:t>
      </w:r>
      <w:r w:rsidR="00F230A0" w:rsidRPr="00570B5D">
        <w:rPr>
          <w:lang w:val="en-GB"/>
        </w:rPr>
        <w:t>spending</w:t>
      </w:r>
      <w:r w:rsidRPr="00570B5D">
        <w:rPr>
          <w:lang w:val="en-GB"/>
        </w:rPr>
        <w:t xml:space="preserve"> patterns have changed and how income opportunities have dwindled in different sectors of the econom</w:t>
      </w:r>
      <w:r w:rsidR="002578D8" w:rsidRPr="00570B5D">
        <w:rPr>
          <w:lang w:val="en-GB"/>
        </w:rPr>
        <w:t>y.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99"/>
        <w:jc w:val="both"/>
        <w:rPr>
          <w:lang w:val="en-GB"/>
        </w:rPr>
      </w:pPr>
      <w:r w:rsidRPr="00570B5D">
        <w:rPr>
          <w:lang w:val="en-GB"/>
        </w:rPr>
        <w:t xml:space="preserve">For </w:t>
      </w:r>
      <w:r w:rsidR="005D5BE2" w:rsidRPr="00570B5D">
        <w:rPr>
          <w:lang w:val="en-GB"/>
        </w:rPr>
        <w:t>example</w:t>
      </w:r>
      <w:r w:rsidRPr="00570B5D">
        <w:rPr>
          <w:lang w:val="en-GB"/>
        </w:rPr>
        <w:t xml:space="preserve">, </w:t>
      </w:r>
      <w:r w:rsidR="00F230A0" w:rsidRPr="00570B5D">
        <w:rPr>
          <w:lang w:val="en-GB"/>
        </w:rPr>
        <w:t xml:space="preserve">research </w:t>
      </w:r>
      <w:r w:rsidRPr="00570B5D">
        <w:rPr>
          <w:lang w:val="en-GB"/>
        </w:rPr>
        <w:t>show</w:t>
      </w:r>
      <w:r w:rsidR="00F230A0" w:rsidRPr="00570B5D">
        <w:rPr>
          <w:lang w:val="en-GB"/>
        </w:rPr>
        <w:t>s that</w:t>
      </w:r>
      <w:r w:rsidRPr="00570B5D">
        <w:rPr>
          <w:lang w:val="en-GB"/>
        </w:rPr>
        <w:t xml:space="preserve"> in the UK</w:t>
      </w:r>
      <w:r w:rsidR="007A7F94" w:rsidRPr="00570B5D">
        <w:rPr>
          <w:lang w:val="en-GB"/>
        </w:rPr>
        <w:t>,</w:t>
      </w:r>
      <w:r w:rsidRPr="00570B5D">
        <w:rPr>
          <w:lang w:val="en-GB"/>
        </w:rPr>
        <w:t xml:space="preserve"> roughly a third of households have trouble keeping up with bill payments, 42</w:t>
      </w:r>
      <w:r w:rsidR="00F230A0" w:rsidRPr="00570B5D">
        <w:rPr>
          <w:lang w:val="en-GB"/>
        </w:rPr>
        <w:t>%</w:t>
      </w:r>
      <w:r w:rsidRPr="00570B5D">
        <w:rPr>
          <w:lang w:val="en-GB"/>
        </w:rPr>
        <w:t xml:space="preserve"> have cut other expenditure to prioritise housing costs and over half have dipped into their savings</w:t>
      </w:r>
      <w:r w:rsidR="00F230A0" w:rsidRPr="00570B5D">
        <w:rPr>
          <w:lang w:val="en-GB"/>
        </w:rPr>
        <w:t xml:space="preserve"> (</w:t>
      </w:r>
      <w:hyperlink r:id="rId9" w:history="1">
        <w:r w:rsidR="00F230A0" w:rsidRPr="00570B5D">
          <w:rPr>
            <w:rStyle w:val="Hyperlink"/>
            <w:lang w:val="en-GB"/>
          </w:rPr>
          <w:t>Brewer and Handscomb, 2020</w:t>
        </w:r>
      </w:hyperlink>
      <w:r w:rsidR="00F230A0" w:rsidRPr="00570B5D">
        <w:rPr>
          <w:lang w:val="en-GB"/>
        </w:rPr>
        <w:t>)</w:t>
      </w:r>
      <w:r w:rsidRPr="00570B5D">
        <w:rPr>
          <w:lang w:val="en-GB"/>
        </w:rPr>
        <w:t xml:space="preserve">. </w:t>
      </w:r>
      <w:r w:rsidR="00F230A0" w:rsidRPr="00570B5D">
        <w:rPr>
          <w:lang w:val="en-GB"/>
        </w:rPr>
        <w:t xml:space="preserve">Other work </w:t>
      </w:r>
      <w:r w:rsidRPr="00570B5D">
        <w:rPr>
          <w:lang w:val="en-GB"/>
        </w:rPr>
        <w:t>use</w:t>
      </w:r>
      <w:r w:rsidR="00F230A0" w:rsidRPr="00570B5D">
        <w:rPr>
          <w:lang w:val="en-GB"/>
        </w:rPr>
        <w:t>s</w:t>
      </w:r>
      <w:r w:rsidRPr="00570B5D">
        <w:rPr>
          <w:lang w:val="en-GB"/>
        </w:rPr>
        <w:t xml:space="preserve"> high-frequency </w:t>
      </w:r>
      <w:r w:rsidR="00F230A0" w:rsidRPr="00570B5D">
        <w:rPr>
          <w:lang w:val="en-GB"/>
        </w:rPr>
        <w:t>commercial</w:t>
      </w:r>
      <w:r w:rsidRPr="00570B5D">
        <w:rPr>
          <w:lang w:val="en-GB"/>
        </w:rPr>
        <w:t xml:space="preserve"> data from fin</w:t>
      </w:r>
      <w:r w:rsidR="00F0345C" w:rsidRPr="00570B5D">
        <w:rPr>
          <w:lang w:val="en-GB"/>
        </w:rPr>
        <w:t xml:space="preserve">ancial </w:t>
      </w:r>
      <w:r w:rsidRPr="00570B5D">
        <w:rPr>
          <w:lang w:val="en-GB"/>
        </w:rPr>
        <w:t>tech</w:t>
      </w:r>
      <w:r w:rsidR="00F0345C" w:rsidRPr="00570B5D">
        <w:rPr>
          <w:lang w:val="en-GB"/>
        </w:rPr>
        <w:t>nology</w:t>
      </w:r>
      <w:r w:rsidRPr="00570B5D">
        <w:rPr>
          <w:lang w:val="en-GB"/>
        </w:rPr>
        <w:t xml:space="preserve"> </w:t>
      </w:r>
      <w:r w:rsidR="00F23014">
        <w:rPr>
          <w:lang w:val="en-GB"/>
        </w:rPr>
        <w:t xml:space="preserve">(‘fintech’) </w:t>
      </w:r>
      <w:r w:rsidRPr="00570B5D">
        <w:rPr>
          <w:lang w:val="en-GB"/>
        </w:rPr>
        <w:t xml:space="preserve">companies </w:t>
      </w:r>
      <w:hyperlink w:anchor="_bookmark15" w:history="1"/>
      <w:r w:rsidRPr="00570B5D">
        <w:rPr>
          <w:lang w:val="en-GB"/>
        </w:rPr>
        <w:t xml:space="preserve">to document </w:t>
      </w:r>
      <w:r w:rsidR="00ED18E7" w:rsidRPr="00570B5D">
        <w:rPr>
          <w:lang w:val="en-GB"/>
        </w:rPr>
        <w:t xml:space="preserve">rising </w:t>
      </w:r>
      <w:r w:rsidR="00C36707" w:rsidRPr="00570B5D">
        <w:rPr>
          <w:lang w:val="en-GB"/>
        </w:rPr>
        <w:t>inequality during</w:t>
      </w:r>
      <w:r w:rsidRPr="00570B5D">
        <w:rPr>
          <w:lang w:val="en-GB"/>
        </w:rPr>
        <w:t xml:space="preserve"> the pandemic</w:t>
      </w:r>
      <w:r w:rsidR="00C36707" w:rsidRPr="00570B5D">
        <w:rPr>
          <w:lang w:val="en-GB"/>
        </w:rPr>
        <w:t xml:space="preserve">, with the most economically vulnerable groups experiencing the largest </w:t>
      </w:r>
      <w:r w:rsidR="00B0169D" w:rsidRPr="00570B5D">
        <w:rPr>
          <w:lang w:val="en-GB"/>
        </w:rPr>
        <w:t>declines in spending</w:t>
      </w:r>
      <w:r w:rsidR="00C36707" w:rsidRPr="00570B5D">
        <w:rPr>
          <w:lang w:val="en-GB"/>
        </w:rPr>
        <w:t xml:space="preserve"> and the slowest recovery</w:t>
      </w:r>
      <w:r w:rsidR="00B0169D" w:rsidRPr="00570B5D">
        <w:rPr>
          <w:lang w:val="en-GB"/>
        </w:rPr>
        <w:t xml:space="preserve"> (</w:t>
      </w:r>
      <w:hyperlink r:id="rId10" w:history="1">
        <w:r w:rsidR="00B0169D" w:rsidRPr="00570B5D">
          <w:rPr>
            <w:rStyle w:val="Hyperlink"/>
            <w:lang w:val="en-GB"/>
          </w:rPr>
          <w:t>Baker et al, 2020</w:t>
        </w:r>
      </w:hyperlink>
      <w:r w:rsidR="00B0169D" w:rsidRPr="00570B5D">
        <w:rPr>
          <w:lang w:val="en-GB"/>
        </w:rPr>
        <w:t xml:space="preserve">; </w:t>
      </w:r>
      <w:hyperlink r:id="rId11" w:history="1">
        <w:r w:rsidR="00B0169D" w:rsidRPr="00570B5D">
          <w:rPr>
            <w:rStyle w:val="Hyperlink"/>
            <w:lang w:val="en-GB"/>
          </w:rPr>
          <w:t>Hacioglu et al, 2020</w:t>
        </w:r>
      </w:hyperlink>
      <w:r w:rsidR="00B0169D" w:rsidRPr="00570B5D">
        <w:rPr>
          <w:lang w:val="en-GB"/>
        </w:rPr>
        <w:t>)</w:t>
      </w:r>
      <w:r w:rsidR="00C36707" w:rsidRPr="00570B5D">
        <w:rPr>
          <w:lang w:val="en-GB"/>
        </w:rPr>
        <w:t>.</w:t>
      </w:r>
    </w:p>
    <w:p w:rsidR="005D3C4C" w:rsidRPr="00570B5D" w:rsidRDefault="0057412A" w:rsidP="00007635">
      <w:pPr>
        <w:pStyle w:val="BodyText"/>
        <w:spacing w:beforeLines="120" w:afterLines="120" w:line="360" w:lineRule="auto"/>
        <w:ind w:right="99"/>
        <w:jc w:val="both"/>
        <w:rPr>
          <w:lang w:val="en-GB"/>
        </w:rPr>
      </w:pPr>
      <w:r w:rsidRPr="00570B5D">
        <w:rPr>
          <w:lang w:val="en-GB"/>
        </w:rPr>
        <w:t>In ter</w:t>
      </w:r>
      <w:r w:rsidR="005F12AA" w:rsidRPr="00570B5D">
        <w:rPr>
          <w:lang w:val="en-GB"/>
        </w:rPr>
        <w:t>ms of suggested solutions,</w:t>
      </w:r>
      <w:r w:rsidR="000D4D0C" w:rsidRPr="00570B5D">
        <w:rPr>
          <w:lang w:val="en-GB"/>
        </w:rPr>
        <w:t xml:space="preserve"> studies</w:t>
      </w:r>
      <w:r w:rsidR="005F12AA" w:rsidRPr="00570B5D">
        <w:rPr>
          <w:lang w:val="en-GB"/>
        </w:rPr>
        <w:t xml:space="preserve"> </w:t>
      </w:r>
      <w:r w:rsidR="000D4D0C" w:rsidRPr="00570B5D">
        <w:rPr>
          <w:lang w:val="en-GB"/>
        </w:rPr>
        <w:t xml:space="preserve">indicate </w:t>
      </w:r>
      <w:r w:rsidR="005F12AA" w:rsidRPr="00570B5D">
        <w:rPr>
          <w:lang w:val="en-GB"/>
        </w:rPr>
        <w:t xml:space="preserve">that traditional macroeconomic tools </w:t>
      </w:r>
      <w:r w:rsidR="000D4D0C" w:rsidRPr="00570B5D">
        <w:rPr>
          <w:lang w:val="en-GB"/>
        </w:rPr>
        <w:t xml:space="preserve">used </w:t>
      </w:r>
      <w:r w:rsidR="005F12AA" w:rsidRPr="00570B5D">
        <w:rPr>
          <w:lang w:val="en-GB"/>
        </w:rPr>
        <w:t xml:space="preserve">to stimulate demand </w:t>
      </w:r>
      <w:r w:rsidR="000D4D0C" w:rsidRPr="00570B5D">
        <w:rPr>
          <w:lang w:val="en-GB"/>
        </w:rPr>
        <w:t xml:space="preserve">across the whole economy </w:t>
      </w:r>
      <w:r w:rsidR="005F12AA" w:rsidRPr="00570B5D">
        <w:rPr>
          <w:lang w:val="en-GB"/>
        </w:rPr>
        <w:t xml:space="preserve">have little power to restore employment when consumer spending is </w:t>
      </w:r>
      <w:r w:rsidR="000D4D0C" w:rsidRPr="00570B5D">
        <w:rPr>
          <w:lang w:val="en-GB"/>
        </w:rPr>
        <w:t xml:space="preserve">limited </w:t>
      </w:r>
      <w:r w:rsidR="005F12AA" w:rsidRPr="00570B5D">
        <w:rPr>
          <w:lang w:val="en-GB"/>
        </w:rPr>
        <w:t>due to</w:t>
      </w:r>
      <w:r w:rsidR="000D4D0C" w:rsidRPr="00570B5D">
        <w:rPr>
          <w:lang w:val="en-GB"/>
        </w:rPr>
        <w:t xml:space="preserve"> lockdowns (</w:t>
      </w:r>
      <w:hyperlink r:id="rId12" w:history="1">
        <w:r w:rsidR="000D4D0C" w:rsidRPr="00570B5D">
          <w:rPr>
            <w:rStyle w:val="Hyperlink"/>
            <w:lang w:val="en-GB"/>
          </w:rPr>
          <w:t>Chetty et al, 2020</w:t>
        </w:r>
      </w:hyperlink>
      <w:r w:rsidR="000D4D0C" w:rsidRPr="00570B5D">
        <w:rPr>
          <w:lang w:val="en-GB"/>
        </w:rPr>
        <w:t>).</w:t>
      </w:r>
      <w:r w:rsidR="00F02F63" w:rsidRPr="00570B5D">
        <w:rPr>
          <w:lang w:val="en-GB"/>
        </w:rPr>
        <w:t xml:space="preserve"> </w:t>
      </w:r>
      <w:r w:rsidR="00F515E7" w:rsidRPr="00570B5D">
        <w:rPr>
          <w:lang w:val="en-GB"/>
        </w:rPr>
        <w:t>For example, e</w:t>
      </w:r>
      <w:r w:rsidR="00050BD6" w:rsidRPr="00570B5D">
        <w:rPr>
          <w:lang w:val="en-GB"/>
        </w:rPr>
        <w:t xml:space="preserve">ncouraging spending has little effect when </w:t>
      </w:r>
      <w:r w:rsidR="00655146" w:rsidRPr="00570B5D">
        <w:rPr>
          <w:lang w:val="en-GB"/>
        </w:rPr>
        <w:t>shops</w:t>
      </w:r>
      <w:r w:rsidR="00050BD6" w:rsidRPr="00570B5D">
        <w:rPr>
          <w:lang w:val="en-GB"/>
        </w:rPr>
        <w:t xml:space="preserve">, restaurants and entertainment venues are closed. Instead, these studies </w:t>
      </w:r>
      <w:r w:rsidR="005F12AA" w:rsidRPr="00570B5D">
        <w:rPr>
          <w:lang w:val="en-GB"/>
        </w:rPr>
        <w:t xml:space="preserve">suggest that direct government support </w:t>
      </w:r>
      <w:r w:rsidR="000D4D0C" w:rsidRPr="00570B5D">
        <w:rPr>
          <w:lang w:val="en-GB"/>
        </w:rPr>
        <w:t xml:space="preserve">for </w:t>
      </w:r>
      <w:r w:rsidR="005F12AA" w:rsidRPr="00570B5D">
        <w:rPr>
          <w:lang w:val="en-GB"/>
        </w:rPr>
        <w:t xml:space="preserve">households is </w:t>
      </w:r>
      <w:r w:rsidR="00050BD6" w:rsidRPr="00570B5D">
        <w:rPr>
          <w:lang w:val="en-GB"/>
        </w:rPr>
        <w:t>more effective for reducing</w:t>
      </w:r>
      <w:r w:rsidR="005F12AA" w:rsidRPr="00570B5D">
        <w:rPr>
          <w:lang w:val="en-GB"/>
        </w:rPr>
        <w:t xml:space="preserve"> economic hardship.</w:t>
      </w:r>
    </w:p>
    <w:p w:rsidR="005D3C4C" w:rsidRPr="00570B5D" w:rsidRDefault="00194215" w:rsidP="00007635">
      <w:pPr>
        <w:pStyle w:val="BodyText"/>
        <w:spacing w:beforeLines="120" w:afterLines="120" w:line="360" w:lineRule="auto"/>
        <w:ind w:right="99"/>
        <w:jc w:val="both"/>
        <w:rPr>
          <w:lang w:val="en-GB"/>
        </w:rPr>
      </w:pPr>
      <w:r w:rsidRPr="00570B5D">
        <w:rPr>
          <w:lang w:val="en-GB"/>
        </w:rPr>
        <w:t>M</w:t>
      </w:r>
      <w:r w:rsidR="005F12AA" w:rsidRPr="00570B5D">
        <w:rPr>
          <w:lang w:val="en-GB"/>
        </w:rPr>
        <w:t>easures</w:t>
      </w:r>
      <w:r w:rsidR="00F515E7" w:rsidRPr="00570B5D">
        <w:rPr>
          <w:lang w:val="en-GB"/>
        </w:rPr>
        <w:t xml:space="preserve"> designed to support households </w:t>
      </w:r>
      <w:r w:rsidR="005F12AA" w:rsidRPr="00570B5D">
        <w:rPr>
          <w:lang w:val="en-GB"/>
        </w:rPr>
        <w:t xml:space="preserve">helped </w:t>
      </w:r>
      <w:r w:rsidR="00AF3327" w:rsidRPr="00570B5D">
        <w:rPr>
          <w:lang w:val="en-GB"/>
        </w:rPr>
        <w:t xml:space="preserve">to </w:t>
      </w:r>
      <w:r w:rsidR="005F12AA" w:rsidRPr="00570B5D">
        <w:rPr>
          <w:lang w:val="en-GB"/>
        </w:rPr>
        <w:t xml:space="preserve">mitigate income inequality in the early stage of the crisis </w:t>
      </w:r>
      <w:r w:rsidR="00655228" w:rsidRPr="00570B5D">
        <w:rPr>
          <w:lang w:val="en-GB"/>
        </w:rPr>
        <w:t>(</w:t>
      </w:r>
      <w:hyperlink r:id="rId13" w:history="1">
        <w:r w:rsidR="00655228" w:rsidRPr="00570B5D">
          <w:rPr>
            <w:rStyle w:val="Hyperlink"/>
            <w:lang w:val="en-GB"/>
          </w:rPr>
          <w:t xml:space="preserve">O’Donoghue </w:t>
        </w:r>
        <w:r w:rsidR="0057412A" w:rsidRPr="00570B5D">
          <w:rPr>
            <w:rStyle w:val="Hyperlink"/>
            <w:iCs/>
            <w:lang w:val="en-GB"/>
          </w:rPr>
          <w:t>et al</w:t>
        </w:r>
        <w:r w:rsidR="005F12AA" w:rsidRPr="00570B5D">
          <w:rPr>
            <w:rStyle w:val="Hyperlink"/>
            <w:lang w:val="en-GB"/>
          </w:rPr>
          <w:t xml:space="preserve">, </w:t>
        </w:r>
        <w:r w:rsidR="00655228" w:rsidRPr="00570B5D">
          <w:rPr>
            <w:rStyle w:val="Hyperlink"/>
            <w:lang w:val="en-GB"/>
          </w:rPr>
          <w:t>2020</w:t>
        </w:r>
      </w:hyperlink>
      <w:r w:rsidR="0057412A" w:rsidRPr="00570B5D">
        <w:rPr>
          <w:lang w:val="en-GB"/>
        </w:rPr>
        <w:t xml:space="preserve">). </w:t>
      </w:r>
      <w:r w:rsidR="00C564CB" w:rsidRPr="00570B5D">
        <w:rPr>
          <w:lang w:val="en-GB"/>
        </w:rPr>
        <w:t xml:space="preserve">This is chiefly because of </w:t>
      </w:r>
      <w:r w:rsidR="005F12AA" w:rsidRPr="00570B5D">
        <w:rPr>
          <w:lang w:val="en-GB"/>
        </w:rPr>
        <w:t>the</w:t>
      </w:r>
      <w:r w:rsidR="00655228" w:rsidRPr="00570B5D">
        <w:rPr>
          <w:lang w:val="en-GB"/>
        </w:rPr>
        <w:t>ir</w:t>
      </w:r>
      <w:r w:rsidR="005F12AA" w:rsidRPr="00570B5D">
        <w:rPr>
          <w:lang w:val="en-GB"/>
        </w:rPr>
        <w:t xml:space="preserve"> effects on vulnerable sections of the population </w:t>
      </w:r>
      <w:r w:rsidRPr="00570B5D">
        <w:rPr>
          <w:lang w:val="en-GB"/>
        </w:rPr>
        <w:t>(</w:t>
      </w:r>
      <w:r w:rsidR="005F12AA" w:rsidRPr="00570B5D">
        <w:rPr>
          <w:lang w:val="en-GB"/>
        </w:rPr>
        <w:t>such as those who are self-employed and cannot rely on social networks</w:t>
      </w:r>
      <w:r w:rsidRPr="00570B5D">
        <w:rPr>
          <w:lang w:val="en-GB"/>
        </w:rPr>
        <w:t>)</w:t>
      </w:r>
      <w:r w:rsidR="00791256" w:rsidRPr="00570B5D">
        <w:rPr>
          <w:lang w:val="en-GB"/>
        </w:rPr>
        <w:t>.</w:t>
      </w:r>
      <w:r w:rsidR="005F12AA" w:rsidRPr="00570B5D">
        <w:rPr>
          <w:lang w:val="en-GB"/>
        </w:rPr>
        <w:t xml:space="preserve"> </w:t>
      </w:r>
      <w:r w:rsidR="00F515E7" w:rsidRPr="00570B5D">
        <w:rPr>
          <w:lang w:val="en-GB"/>
        </w:rPr>
        <w:t>H</w:t>
      </w:r>
      <w:r w:rsidR="00791256" w:rsidRPr="00570B5D">
        <w:rPr>
          <w:lang w:val="en-GB"/>
        </w:rPr>
        <w:t xml:space="preserve">ouseholds </w:t>
      </w:r>
      <w:r w:rsidR="005F12AA" w:rsidRPr="00570B5D">
        <w:rPr>
          <w:lang w:val="en-GB"/>
        </w:rPr>
        <w:t>are prepared to sacrifice, on average, up to 10% of their regular income to be guaranteed similar support during future shocks</w:t>
      </w:r>
      <w:r w:rsidR="00AF3327" w:rsidRPr="00570B5D">
        <w:rPr>
          <w:lang w:val="en-GB"/>
        </w:rPr>
        <w:t>.</w:t>
      </w:r>
    </w:p>
    <w:p w:rsidR="005D3C4C" w:rsidRPr="00570B5D" w:rsidRDefault="00F515E7" w:rsidP="00007635">
      <w:pPr>
        <w:pStyle w:val="BodyText"/>
        <w:spacing w:beforeLines="120" w:afterLines="120" w:line="360" w:lineRule="auto"/>
        <w:ind w:right="99"/>
        <w:jc w:val="both"/>
        <w:rPr>
          <w:lang w:val="en-GB"/>
        </w:rPr>
      </w:pPr>
      <w:r w:rsidRPr="00570B5D">
        <w:rPr>
          <w:lang w:val="en-GB"/>
        </w:rPr>
        <w:t>I</w:t>
      </w:r>
      <w:r w:rsidR="005F12AA" w:rsidRPr="00570B5D">
        <w:rPr>
          <w:lang w:val="en-GB"/>
        </w:rPr>
        <w:t>t is</w:t>
      </w:r>
      <w:r w:rsidRPr="00570B5D">
        <w:rPr>
          <w:lang w:val="en-GB"/>
        </w:rPr>
        <w:t xml:space="preserve"> also</w:t>
      </w:r>
      <w:r w:rsidR="005F12AA" w:rsidRPr="00570B5D">
        <w:rPr>
          <w:lang w:val="en-GB"/>
        </w:rPr>
        <w:t xml:space="preserve"> important to have a clear understanding of household expenditure </w:t>
      </w:r>
      <w:r w:rsidR="00483CFA" w:rsidRPr="00570B5D">
        <w:rPr>
          <w:lang w:val="en-GB"/>
        </w:rPr>
        <w:t xml:space="preserve">across </w:t>
      </w:r>
      <w:r w:rsidR="005F12AA" w:rsidRPr="00570B5D">
        <w:rPr>
          <w:lang w:val="en-GB"/>
        </w:rPr>
        <w:t>the income and wealth distributions.</w:t>
      </w:r>
      <w:r w:rsidRPr="00570B5D">
        <w:rPr>
          <w:lang w:val="en-GB"/>
        </w:rPr>
        <w:t xml:space="preserve"> </w:t>
      </w:r>
      <w:r w:rsidR="005F12AA" w:rsidRPr="00570B5D">
        <w:rPr>
          <w:lang w:val="en-GB"/>
        </w:rPr>
        <w:t xml:space="preserve">Without such information, </w:t>
      </w:r>
      <w:r w:rsidR="00576D6F" w:rsidRPr="00570B5D">
        <w:rPr>
          <w:lang w:val="en-GB"/>
        </w:rPr>
        <w:t xml:space="preserve">the identification of </w:t>
      </w:r>
      <w:r w:rsidR="006F1807" w:rsidRPr="00570B5D">
        <w:rPr>
          <w:lang w:val="en-GB"/>
        </w:rPr>
        <w:t xml:space="preserve">financially </w:t>
      </w:r>
      <w:r w:rsidR="00576D6F" w:rsidRPr="00570B5D">
        <w:rPr>
          <w:lang w:val="en-GB"/>
        </w:rPr>
        <w:t xml:space="preserve">vulnerable households </w:t>
      </w:r>
      <w:r w:rsidRPr="00570B5D">
        <w:rPr>
          <w:lang w:val="en-GB"/>
        </w:rPr>
        <w:t xml:space="preserve">can end up being </w:t>
      </w:r>
      <w:r w:rsidR="005F12AA" w:rsidRPr="00570B5D">
        <w:rPr>
          <w:lang w:val="en-GB"/>
        </w:rPr>
        <w:t xml:space="preserve">imperfect. For example, </w:t>
      </w:r>
      <w:r w:rsidR="004B0725" w:rsidRPr="00570B5D">
        <w:rPr>
          <w:lang w:val="en-GB"/>
        </w:rPr>
        <w:t xml:space="preserve">one </w:t>
      </w:r>
      <w:r w:rsidR="005F12AA" w:rsidRPr="00570B5D">
        <w:rPr>
          <w:lang w:val="en-GB"/>
        </w:rPr>
        <w:t>study shows that 60% of</w:t>
      </w:r>
      <w:r w:rsidR="006B7166" w:rsidRPr="00570B5D">
        <w:rPr>
          <w:lang w:val="en-GB"/>
        </w:rPr>
        <w:t xml:space="preserve"> postponements to mortgage or </w:t>
      </w:r>
      <w:r w:rsidR="004B0725" w:rsidRPr="00570B5D">
        <w:rPr>
          <w:lang w:val="en-GB"/>
        </w:rPr>
        <w:t xml:space="preserve">loan payments </w:t>
      </w:r>
      <w:r w:rsidR="005F12AA" w:rsidRPr="00570B5D">
        <w:rPr>
          <w:lang w:val="en-GB"/>
        </w:rPr>
        <w:t>in the U</w:t>
      </w:r>
      <w:r w:rsidR="004B0725" w:rsidRPr="00570B5D">
        <w:rPr>
          <w:lang w:val="en-GB"/>
        </w:rPr>
        <w:t xml:space="preserve">nited </w:t>
      </w:r>
      <w:r w:rsidR="005F12AA" w:rsidRPr="00570B5D">
        <w:rPr>
          <w:lang w:val="en-GB"/>
        </w:rPr>
        <w:t>S</w:t>
      </w:r>
      <w:r w:rsidR="004B0725" w:rsidRPr="00570B5D">
        <w:rPr>
          <w:lang w:val="en-GB"/>
        </w:rPr>
        <w:t>tates</w:t>
      </w:r>
      <w:r w:rsidR="005F12AA" w:rsidRPr="00570B5D">
        <w:rPr>
          <w:lang w:val="en-GB"/>
        </w:rPr>
        <w:t xml:space="preserve"> was provided to individuals with above </w:t>
      </w:r>
      <w:r w:rsidRPr="00570B5D">
        <w:rPr>
          <w:lang w:val="en-GB"/>
        </w:rPr>
        <w:t xml:space="preserve">the </w:t>
      </w:r>
      <w:r w:rsidR="005F12AA" w:rsidRPr="00570B5D">
        <w:rPr>
          <w:lang w:val="en-GB"/>
        </w:rPr>
        <w:t xml:space="preserve">median income, </w:t>
      </w:r>
      <w:r w:rsidRPr="00570B5D">
        <w:rPr>
          <w:lang w:val="en-GB"/>
        </w:rPr>
        <w:t xml:space="preserve">since </w:t>
      </w:r>
      <w:r w:rsidR="005F12AA" w:rsidRPr="00570B5D">
        <w:rPr>
          <w:lang w:val="en-GB"/>
        </w:rPr>
        <w:t xml:space="preserve">higher income individuals </w:t>
      </w:r>
      <w:r w:rsidR="004B0725" w:rsidRPr="00570B5D">
        <w:rPr>
          <w:lang w:val="en-GB"/>
        </w:rPr>
        <w:t xml:space="preserve">tend to </w:t>
      </w:r>
      <w:r w:rsidR="005F12AA" w:rsidRPr="00570B5D">
        <w:rPr>
          <w:lang w:val="en-GB"/>
        </w:rPr>
        <w:t>have greater debt balances</w:t>
      </w:r>
      <w:r w:rsidR="004B0725" w:rsidRPr="00570B5D">
        <w:rPr>
          <w:lang w:val="en-GB"/>
        </w:rPr>
        <w:t xml:space="preserve"> (</w:t>
      </w:r>
      <w:hyperlink r:id="rId14" w:history="1">
        <w:r w:rsidR="004B0725" w:rsidRPr="00570B5D">
          <w:rPr>
            <w:rStyle w:val="Hyperlink"/>
            <w:lang w:val="en-GB"/>
          </w:rPr>
          <w:t>Cherry et al, 2021</w:t>
        </w:r>
      </w:hyperlink>
      <w:r w:rsidR="004B0725" w:rsidRPr="00570B5D">
        <w:rPr>
          <w:lang w:val="en-GB"/>
        </w:rPr>
        <w:t>)</w:t>
      </w:r>
      <w:r w:rsidR="005F12AA" w:rsidRPr="00570B5D">
        <w:rPr>
          <w:lang w:val="en-GB"/>
        </w:rPr>
        <w:t>.</w:t>
      </w:r>
    </w:p>
    <w:p w:rsidR="005D3C4C" w:rsidRPr="00570B5D" w:rsidRDefault="00A76483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  <w:r w:rsidRPr="00570B5D">
        <w:rPr>
          <w:lang w:val="en-GB"/>
        </w:rPr>
        <w:t>In emerging economies, p</w:t>
      </w:r>
      <w:r w:rsidR="005F12AA" w:rsidRPr="00570B5D">
        <w:rPr>
          <w:lang w:val="en-GB"/>
        </w:rPr>
        <w:t xml:space="preserve">olicy targeting issues </w:t>
      </w:r>
      <w:r w:rsidRPr="00570B5D">
        <w:rPr>
          <w:lang w:val="en-GB"/>
        </w:rPr>
        <w:t xml:space="preserve">are an additional problem to contend with, as </w:t>
      </w:r>
      <w:r w:rsidR="00FB204B" w:rsidRPr="00570B5D">
        <w:rPr>
          <w:lang w:val="en-GB"/>
        </w:rPr>
        <w:t>support</w:t>
      </w:r>
      <w:r w:rsidRPr="00570B5D">
        <w:rPr>
          <w:lang w:val="en-GB"/>
        </w:rPr>
        <w:t xml:space="preserve"> </w:t>
      </w:r>
      <w:r w:rsidR="005F12AA" w:rsidRPr="00570B5D">
        <w:rPr>
          <w:lang w:val="en-GB"/>
        </w:rPr>
        <w:t xml:space="preserve">schemes </w:t>
      </w:r>
      <w:r w:rsidR="004B0725" w:rsidRPr="00570B5D">
        <w:rPr>
          <w:lang w:val="en-GB"/>
        </w:rPr>
        <w:t xml:space="preserve">need to be implemented </w:t>
      </w:r>
      <w:r w:rsidR="005F12AA" w:rsidRPr="00570B5D">
        <w:rPr>
          <w:lang w:val="en-GB"/>
        </w:rPr>
        <w:t xml:space="preserve">with little existing infrastructure in place, </w:t>
      </w:r>
      <w:r w:rsidR="008745FA" w:rsidRPr="00570B5D">
        <w:rPr>
          <w:lang w:val="en-GB"/>
        </w:rPr>
        <w:t xml:space="preserve">and </w:t>
      </w:r>
      <w:r w:rsidR="00576D6F" w:rsidRPr="00570B5D">
        <w:rPr>
          <w:lang w:val="en-GB"/>
        </w:rPr>
        <w:t xml:space="preserve">the </w:t>
      </w:r>
      <w:r w:rsidR="005F12AA" w:rsidRPr="00570B5D">
        <w:rPr>
          <w:lang w:val="en-GB"/>
        </w:rPr>
        <w:t xml:space="preserve">social protection systems </w:t>
      </w:r>
      <w:r w:rsidR="00576D6F" w:rsidRPr="00570B5D">
        <w:rPr>
          <w:lang w:val="en-GB"/>
        </w:rPr>
        <w:t xml:space="preserve">that </w:t>
      </w:r>
      <w:r w:rsidR="00E510B7" w:rsidRPr="00570B5D">
        <w:rPr>
          <w:lang w:val="en-GB"/>
        </w:rPr>
        <w:t xml:space="preserve">financially </w:t>
      </w:r>
      <w:r w:rsidR="00576D6F" w:rsidRPr="00570B5D">
        <w:rPr>
          <w:lang w:val="en-GB"/>
        </w:rPr>
        <w:t xml:space="preserve">vulnerable households can access, </w:t>
      </w:r>
      <w:r w:rsidR="005F12AA" w:rsidRPr="00570B5D">
        <w:rPr>
          <w:lang w:val="en-GB"/>
        </w:rPr>
        <w:t>such as unemployment benefits and insurance</w:t>
      </w:r>
      <w:r w:rsidR="00576D6F" w:rsidRPr="00570B5D">
        <w:rPr>
          <w:lang w:val="en-GB"/>
        </w:rPr>
        <w:t>,</w:t>
      </w:r>
      <w:r w:rsidR="005F12AA" w:rsidRPr="00570B5D">
        <w:rPr>
          <w:lang w:val="en-GB"/>
        </w:rPr>
        <w:t xml:space="preserve"> are generally weak</w:t>
      </w:r>
      <w:r w:rsidR="006B7166" w:rsidRPr="00570B5D">
        <w:rPr>
          <w:lang w:val="en-GB"/>
        </w:rPr>
        <w:t xml:space="preserve"> (</w:t>
      </w:r>
      <w:hyperlink r:id="rId15" w:history="1">
        <w:r w:rsidR="006B7166" w:rsidRPr="00570B5D">
          <w:rPr>
            <w:rStyle w:val="Hyperlink"/>
            <w:lang w:val="en-GB"/>
          </w:rPr>
          <w:t>Gerard et al, 2020</w:t>
        </w:r>
      </w:hyperlink>
      <w:r w:rsidR="006B7166" w:rsidRPr="00570B5D">
        <w:rPr>
          <w:lang w:val="en-GB"/>
        </w:rPr>
        <w:t>)</w:t>
      </w:r>
      <w:r w:rsidR="004B0725" w:rsidRPr="00570B5D">
        <w:rPr>
          <w:lang w:val="en-GB"/>
        </w:rPr>
        <w:t>.</w:t>
      </w:r>
      <w:r w:rsidR="005F12AA" w:rsidRPr="00570B5D">
        <w:rPr>
          <w:lang w:val="en-GB"/>
        </w:rPr>
        <w:t xml:space="preserve"> </w:t>
      </w:r>
    </w:p>
    <w:p w:rsidR="00194215" w:rsidRPr="00570B5D" w:rsidRDefault="00194215" w:rsidP="00007635">
      <w:pPr>
        <w:pStyle w:val="Heading1"/>
        <w:spacing w:beforeLines="120" w:afterLines="120" w:line="360" w:lineRule="auto"/>
        <w:ind w:left="0"/>
        <w:rPr>
          <w:lang w:val="en-GB"/>
        </w:rPr>
      </w:pPr>
    </w:p>
    <w:p w:rsidR="005D3C4C" w:rsidRPr="00570B5D" w:rsidRDefault="00BD4667" w:rsidP="00007635">
      <w:pPr>
        <w:pStyle w:val="Heading1"/>
        <w:spacing w:beforeLines="120" w:afterLines="120" w:line="360" w:lineRule="auto"/>
        <w:ind w:left="0"/>
        <w:rPr>
          <w:lang w:val="en-GB"/>
        </w:rPr>
      </w:pPr>
      <w:r w:rsidRPr="00570B5D">
        <w:rPr>
          <w:lang w:val="en-GB"/>
        </w:rPr>
        <w:t>What do we mean by financial vulnerability?</w:t>
      </w:r>
    </w:p>
    <w:p w:rsidR="00774240" w:rsidRDefault="00C27E5D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  <w:r w:rsidRPr="00570B5D">
        <w:rPr>
          <w:lang w:val="en-GB"/>
        </w:rPr>
        <w:t>T</w:t>
      </w:r>
      <w:r w:rsidR="005F12AA" w:rsidRPr="00570B5D">
        <w:rPr>
          <w:lang w:val="en-GB"/>
        </w:rPr>
        <w:t xml:space="preserve">wo important features of </w:t>
      </w:r>
      <w:r w:rsidR="00AF3327" w:rsidRPr="00570B5D">
        <w:rPr>
          <w:lang w:val="en-GB"/>
        </w:rPr>
        <w:t xml:space="preserve">a </w:t>
      </w:r>
      <w:r w:rsidR="005F12AA" w:rsidRPr="00570B5D">
        <w:rPr>
          <w:lang w:val="en-GB"/>
        </w:rPr>
        <w:t xml:space="preserve">household’s financial position determine its vulnerability. </w:t>
      </w:r>
      <w:r w:rsidR="005F44FC" w:rsidRPr="00570B5D">
        <w:rPr>
          <w:lang w:val="en-GB"/>
        </w:rPr>
        <w:t>The first is the minimum level of</w:t>
      </w:r>
      <w:r w:rsidR="00964270" w:rsidRPr="00570B5D">
        <w:rPr>
          <w:lang w:val="en-GB"/>
        </w:rPr>
        <w:t xml:space="preserve"> spending </w:t>
      </w:r>
      <w:r w:rsidR="005F44FC" w:rsidRPr="00570B5D">
        <w:rPr>
          <w:lang w:val="en-GB"/>
        </w:rPr>
        <w:t>required for food, essential utilities, housing or rental expenses a</w:t>
      </w:r>
      <w:r w:rsidR="00774240">
        <w:rPr>
          <w:lang w:val="en-GB"/>
        </w:rPr>
        <w:t>nd any monthly debt repayments.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100"/>
        <w:jc w:val="both"/>
        <w:rPr>
          <w:rFonts w:ascii="Arial" w:hAnsi="Arial"/>
          <w:lang w:val="en-GB"/>
        </w:rPr>
      </w:pPr>
      <w:r w:rsidRPr="00570B5D">
        <w:rPr>
          <w:lang w:val="en-GB"/>
        </w:rPr>
        <w:t xml:space="preserve">The </w:t>
      </w:r>
      <w:r w:rsidR="005F44FC" w:rsidRPr="00570B5D">
        <w:rPr>
          <w:lang w:val="en-GB"/>
        </w:rPr>
        <w:t xml:space="preserve">second </w:t>
      </w:r>
      <w:r w:rsidRPr="00570B5D">
        <w:rPr>
          <w:lang w:val="en-GB"/>
        </w:rPr>
        <w:t xml:space="preserve">is the level of liquid financial assets </w:t>
      </w:r>
      <w:r w:rsidR="00ED18E7" w:rsidRPr="00570B5D">
        <w:rPr>
          <w:lang w:val="en-GB"/>
        </w:rPr>
        <w:t xml:space="preserve">at the household’s disposal </w:t>
      </w:r>
      <w:r w:rsidRPr="00570B5D">
        <w:rPr>
          <w:lang w:val="en-GB"/>
        </w:rPr>
        <w:t xml:space="preserve">at the point of </w:t>
      </w:r>
      <w:r w:rsidR="00C27E5D" w:rsidRPr="00570B5D">
        <w:rPr>
          <w:lang w:val="en-GB"/>
        </w:rPr>
        <w:t>a</w:t>
      </w:r>
      <w:r w:rsidRPr="00570B5D">
        <w:rPr>
          <w:lang w:val="en-GB"/>
        </w:rPr>
        <w:t xml:space="preserve"> shock</w:t>
      </w:r>
      <w:r w:rsidR="0002571C" w:rsidRPr="00570B5D">
        <w:rPr>
          <w:lang w:val="en-GB"/>
        </w:rPr>
        <w:t xml:space="preserve"> </w:t>
      </w:r>
      <w:r w:rsidR="00C27E5D" w:rsidRPr="00570B5D">
        <w:rPr>
          <w:lang w:val="en-GB"/>
        </w:rPr>
        <w:t>(</w:t>
      </w:r>
      <w:r w:rsidR="0002571C" w:rsidRPr="00570B5D">
        <w:rPr>
          <w:lang w:val="en-GB"/>
        </w:rPr>
        <w:t>such as cash savings, deposit accounts or</w:t>
      </w:r>
      <w:r w:rsidR="00ED1FF5" w:rsidRPr="00570B5D">
        <w:rPr>
          <w:lang w:val="en-GB"/>
        </w:rPr>
        <w:t xml:space="preserve"> other</w:t>
      </w:r>
      <w:r w:rsidR="0002571C" w:rsidRPr="00570B5D">
        <w:rPr>
          <w:lang w:val="en-GB"/>
        </w:rPr>
        <w:t xml:space="preserve"> liquid financial assets</w:t>
      </w:r>
      <w:r w:rsidR="00C27E5D" w:rsidRPr="00570B5D">
        <w:rPr>
          <w:lang w:val="en-GB"/>
        </w:rPr>
        <w:t>)</w:t>
      </w:r>
      <w:r w:rsidR="0002571C" w:rsidRPr="00570B5D">
        <w:rPr>
          <w:lang w:val="en-GB"/>
        </w:rPr>
        <w:t xml:space="preserve">. </w:t>
      </w:r>
      <w:r w:rsidRPr="00570B5D">
        <w:rPr>
          <w:lang w:val="en-GB"/>
        </w:rPr>
        <w:t xml:space="preserve">Without state support, households </w:t>
      </w:r>
      <w:r w:rsidR="00AA13B6" w:rsidRPr="00570B5D">
        <w:rPr>
          <w:lang w:val="en-GB"/>
        </w:rPr>
        <w:t xml:space="preserve">will need </w:t>
      </w:r>
      <w:r w:rsidR="00400F79" w:rsidRPr="00570B5D">
        <w:rPr>
          <w:lang w:val="en-GB"/>
        </w:rPr>
        <w:t xml:space="preserve">to </w:t>
      </w:r>
      <w:r w:rsidR="00774240">
        <w:rPr>
          <w:lang w:val="en-GB"/>
        </w:rPr>
        <w:t xml:space="preserve">draw </w:t>
      </w:r>
      <w:r w:rsidR="00D201CD" w:rsidRPr="00570B5D">
        <w:rPr>
          <w:lang w:val="en-GB"/>
        </w:rPr>
        <w:t xml:space="preserve">immediately </w:t>
      </w:r>
      <w:r w:rsidRPr="00570B5D">
        <w:rPr>
          <w:lang w:val="en-GB"/>
        </w:rPr>
        <w:t xml:space="preserve">on </w:t>
      </w:r>
      <w:r w:rsidR="00C27E5D" w:rsidRPr="00570B5D">
        <w:rPr>
          <w:lang w:val="en-GB"/>
        </w:rPr>
        <w:t>their</w:t>
      </w:r>
      <w:r w:rsidR="0002571C" w:rsidRPr="00570B5D">
        <w:rPr>
          <w:lang w:val="en-GB"/>
        </w:rPr>
        <w:t xml:space="preserve"> </w:t>
      </w:r>
      <w:r w:rsidRPr="00570B5D">
        <w:rPr>
          <w:lang w:val="en-GB"/>
        </w:rPr>
        <w:t xml:space="preserve">liquid financial assets </w:t>
      </w:r>
      <w:r w:rsidR="00C27E5D" w:rsidRPr="00570B5D">
        <w:rPr>
          <w:lang w:val="en-GB"/>
        </w:rPr>
        <w:t>and/</w:t>
      </w:r>
      <w:r w:rsidRPr="00570B5D">
        <w:rPr>
          <w:lang w:val="en-GB"/>
        </w:rPr>
        <w:t>or reduce consumption to weather the storm.</w:t>
      </w:r>
      <w:r w:rsidR="00BD4667" w:rsidRPr="00570B5D">
        <w:rPr>
          <w:lang w:val="en-GB"/>
        </w:rPr>
        <w:t xml:space="preserve"> </w:t>
      </w:r>
    </w:p>
    <w:p w:rsidR="005F1BE7" w:rsidRDefault="005F12AA" w:rsidP="00007635">
      <w:pPr>
        <w:pStyle w:val="BodyText"/>
        <w:spacing w:beforeLines="120" w:afterLines="120" w:line="360" w:lineRule="auto"/>
        <w:ind w:right="101"/>
        <w:jc w:val="both"/>
        <w:rPr>
          <w:lang w:val="en-GB"/>
        </w:rPr>
      </w:pPr>
      <w:r w:rsidRPr="00570B5D">
        <w:rPr>
          <w:lang w:val="en-GB"/>
        </w:rPr>
        <w:t>Using data</w:t>
      </w:r>
      <w:r w:rsidR="00BD4667" w:rsidRPr="00570B5D">
        <w:rPr>
          <w:lang w:val="en-GB"/>
        </w:rPr>
        <w:t xml:space="preserve"> comparing 12 developed countries and 12 emerging/middle</w:t>
      </w:r>
      <w:r w:rsidR="00C27E5D" w:rsidRPr="00570B5D">
        <w:rPr>
          <w:lang w:val="en-GB"/>
        </w:rPr>
        <w:t>-</w:t>
      </w:r>
      <w:r w:rsidR="00BD4667" w:rsidRPr="00570B5D">
        <w:rPr>
          <w:lang w:val="en-GB"/>
        </w:rPr>
        <w:t>income countries</w:t>
      </w:r>
      <w:r w:rsidRPr="00570B5D">
        <w:rPr>
          <w:lang w:val="en-GB"/>
        </w:rPr>
        <w:t xml:space="preserve">, Figure </w:t>
      </w:r>
      <w:hyperlink w:anchor="_bookmark1" w:history="1">
        <w:r w:rsidRPr="00570B5D">
          <w:rPr>
            <w:lang w:val="en-GB"/>
          </w:rPr>
          <w:t xml:space="preserve">1 </w:t>
        </w:r>
      </w:hyperlink>
      <w:r w:rsidRPr="00570B5D">
        <w:rPr>
          <w:lang w:val="en-GB"/>
        </w:rPr>
        <w:t xml:space="preserve">shows the fraction of households in </w:t>
      </w:r>
      <w:r w:rsidR="00BD4667" w:rsidRPr="00570B5D">
        <w:rPr>
          <w:lang w:val="en-GB"/>
        </w:rPr>
        <w:t xml:space="preserve">each category that hold </w:t>
      </w:r>
      <w:r w:rsidRPr="00570B5D">
        <w:rPr>
          <w:lang w:val="en-GB"/>
        </w:rPr>
        <w:t>different types of asset</w:t>
      </w:r>
      <w:r w:rsidR="005F1BE7">
        <w:rPr>
          <w:lang w:val="en-GB"/>
        </w:rPr>
        <w:t xml:space="preserve"> classes, debt and consumption.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101"/>
        <w:jc w:val="both"/>
        <w:rPr>
          <w:lang w:val="en-GB"/>
        </w:rPr>
      </w:pPr>
      <w:r w:rsidRPr="00570B5D">
        <w:rPr>
          <w:lang w:val="en-GB"/>
        </w:rPr>
        <w:t>Most households around the world own positive amounts of liquid financial assets (mainly in the form of cash or deposit accounts), as well as physical assets such as cars and</w:t>
      </w:r>
      <w:r w:rsidR="00C27E5D" w:rsidRPr="00570B5D">
        <w:rPr>
          <w:lang w:val="en-GB"/>
        </w:rPr>
        <w:t xml:space="preserve"> property</w:t>
      </w:r>
      <w:r w:rsidRPr="00570B5D">
        <w:rPr>
          <w:lang w:val="en-GB"/>
        </w:rPr>
        <w:t>. A lower fraction of households in all countries hold illiquid financial assets</w:t>
      </w:r>
      <w:r w:rsidR="00964270" w:rsidRPr="00570B5D">
        <w:rPr>
          <w:lang w:val="en-GB"/>
        </w:rPr>
        <w:t xml:space="preserve">, such as </w:t>
      </w:r>
      <w:r w:rsidRPr="00570B5D">
        <w:rPr>
          <w:lang w:val="en-GB"/>
        </w:rPr>
        <w:t xml:space="preserve">pensions and retirement savings accounts. Overall, roughly 50% of households in the </w:t>
      </w:r>
      <w:r w:rsidR="004901BA" w:rsidRPr="00570B5D">
        <w:rPr>
          <w:lang w:val="en-GB"/>
        </w:rPr>
        <w:t>developed w</w:t>
      </w:r>
      <w:r w:rsidRPr="00570B5D">
        <w:rPr>
          <w:lang w:val="en-GB"/>
        </w:rPr>
        <w:t xml:space="preserve">orld </w:t>
      </w:r>
      <w:r w:rsidR="00400F79" w:rsidRPr="00570B5D">
        <w:rPr>
          <w:lang w:val="en-GB"/>
        </w:rPr>
        <w:t>have</w:t>
      </w:r>
      <w:r w:rsidR="00BD4667" w:rsidRPr="00570B5D">
        <w:rPr>
          <w:lang w:val="en-GB"/>
        </w:rPr>
        <w:t xml:space="preserve"> </w:t>
      </w:r>
      <w:r w:rsidRPr="00570B5D">
        <w:rPr>
          <w:lang w:val="en-GB"/>
        </w:rPr>
        <w:t>illiquid financial assets, while less than 25% do so in emerging economies.</w:t>
      </w:r>
    </w:p>
    <w:p w:rsidR="005D3C4C" w:rsidRPr="00570B5D" w:rsidRDefault="00771656" w:rsidP="00007635">
      <w:pPr>
        <w:pStyle w:val="BodyText"/>
        <w:spacing w:beforeLines="120" w:afterLines="120" w:line="360" w:lineRule="auto"/>
        <w:ind w:right="101"/>
        <w:jc w:val="both"/>
        <w:rPr>
          <w:b/>
          <w:bCs/>
          <w:lang w:val="en-GB"/>
        </w:rPr>
      </w:pPr>
      <w:r w:rsidRPr="00570B5D">
        <w:rPr>
          <w:b/>
          <w:bCs/>
          <w:lang w:val="en-GB"/>
        </w:rPr>
        <w:t>Figure 1: Participation rates in assets and debt markets</w:t>
      </w:r>
    </w:p>
    <w:p w:rsidR="00BD4667" w:rsidRPr="00570B5D" w:rsidRDefault="00BD4667" w:rsidP="00007635">
      <w:pPr>
        <w:pStyle w:val="BodyText"/>
        <w:spacing w:beforeLines="120" w:afterLines="120" w:line="360" w:lineRule="auto"/>
        <w:ind w:left="101" w:right="101" w:firstLine="351"/>
        <w:jc w:val="both"/>
        <w:rPr>
          <w:lang w:val="en-GB"/>
        </w:rPr>
      </w:pPr>
      <w:r w:rsidRPr="00570B5D">
        <w:rPr>
          <w:noProof/>
          <w:lang w:val="en-GB"/>
        </w:rPr>
        <w:drawing>
          <wp:inline distT="0" distB="0" distL="0" distR="0">
            <wp:extent cx="4247804" cy="4926297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0652" cy="49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67" w:rsidRPr="00570B5D" w:rsidRDefault="00771656" w:rsidP="00007635">
      <w:pPr>
        <w:pStyle w:val="BodyText"/>
        <w:spacing w:beforeLines="120" w:afterLines="120" w:line="360" w:lineRule="auto"/>
        <w:ind w:left="101" w:right="101" w:firstLine="351"/>
        <w:jc w:val="both"/>
        <w:rPr>
          <w:lang w:val="en-GB"/>
        </w:rPr>
      </w:pPr>
      <w:r w:rsidRPr="00570B5D">
        <w:rPr>
          <w:b/>
          <w:bCs/>
          <w:i/>
          <w:iCs/>
          <w:lang w:val="en-GB"/>
        </w:rPr>
        <w:t>Source:</w:t>
      </w:r>
      <w:r w:rsidRPr="00570B5D">
        <w:rPr>
          <w:i/>
          <w:iCs/>
          <w:lang w:val="en-GB"/>
        </w:rPr>
        <w:t xml:space="preserve"> Authors’ calculations based on internationa</w:t>
      </w:r>
      <w:r w:rsidR="00AF3327" w:rsidRPr="00570B5D">
        <w:rPr>
          <w:i/>
          <w:iCs/>
          <w:lang w:val="en-GB"/>
        </w:rPr>
        <w:t>l household survey data in the e</w:t>
      </w:r>
      <w:r w:rsidRPr="00570B5D">
        <w:rPr>
          <w:i/>
          <w:iCs/>
          <w:lang w:val="en-GB"/>
        </w:rPr>
        <w:t>uro area, South Africa,</w:t>
      </w:r>
      <w:r w:rsidR="00AF3327" w:rsidRPr="00570B5D">
        <w:rPr>
          <w:i/>
          <w:iCs/>
          <w:lang w:val="en-GB"/>
        </w:rPr>
        <w:t xml:space="preserve"> Thailand, India, China, the UK and the United States</w:t>
      </w:r>
      <w:r w:rsidRPr="00570B5D">
        <w:rPr>
          <w:i/>
          <w:iCs/>
          <w:lang w:val="en-GB"/>
        </w:rPr>
        <w:t xml:space="preserve">. </w:t>
      </w:r>
    </w:p>
    <w:p w:rsidR="005D3C4C" w:rsidRPr="00570B5D" w:rsidRDefault="00C27E5D" w:rsidP="00007635">
      <w:pPr>
        <w:pStyle w:val="BodyText"/>
        <w:spacing w:beforeLines="120" w:afterLines="120" w:line="360" w:lineRule="auto"/>
        <w:ind w:right="101"/>
        <w:jc w:val="both"/>
        <w:rPr>
          <w:lang w:val="en-GB"/>
        </w:rPr>
      </w:pPr>
      <w:r w:rsidRPr="00570B5D">
        <w:rPr>
          <w:lang w:val="en-GB"/>
        </w:rPr>
        <w:t>In terms of debt</w:t>
      </w:r>
      <w:r w:rsidR="005F12AA" w:rsidRPr="00570B5D">
        <w:rPr>
          <w:lang w:val="en-GB"/>
        </w:rPr>
        <w:t xml:space="preserve">, </w:t>
      </w:r>
      <w:r w:rsidR="00ED1FF5" w:rsidRPr="00570B5D">
        <w:rPr>
          <w:lang w:val="en-GB"/>
        </w:rPr>
        <w:t xml:space="preserve">one in two </w:t>
      </w:r>
      <w:r w:rsidR="005F12AA" w:rsidRPr="00570B5D">
        <w:rPr>
          <w:lang w:val="en-GB"/>
        </w:rPr>
        <w:t>household</w:t>
      </w:r>
      <w:r w:rsidR="00ED1FF5" w:rsidRPr="00570B5D">
        <w:rPr>
          <w:lang w:val="en-GB"/>
        </w:rPr>
        <w:t>s</w:t>
      </w:r>
      <w:r w:rsidR="005F12AA" w:rsidRPr="00570B5D">
        <w:rPr>
          <w:lang w:val="en-GB"/>
        </w:rPr>
        <w:t xml:space="preserve"> in developed countries ha</w:t>
      </w:r>
      <w:r w:rsidR="00ED1FF5" w:rsidRPr="00570B5D">
        <w:rPr>
          <w:lang w:val="en-GB"/>
        </w:rPr>
        <w:t>ve</w:t>
      </w:r>
      <w:r w:rsidR="005F12AA" w:rsidRPr="00570B5D">
        <w:rPr>
          <w:lang w:val="en-GB"/>
        </w:rPr>
        <w:t xml:space="preserve"> </w:t>
      </w:r>
      <w:r w:rsidR="00E62B19" w:rsidRPr="00570B5D">
        <w:rPr>
          <w:lang w:val="en-GB"/>
        </w:rPr>
        <w:t>outstanding</w:t>
      </w:r>
      <w:r w:rsidR="005F12AA" w:rsidRPr="00570B5D">
        <w:rPr>
          <w:lang w:val="en-GB"/>
        </w:rPr>
        <w:t xml:space="preserve"> debt, but less than a quarter of households in emerging economies do</w:t>
      </w:r>
      <w:r w:rsidR="0084214D">
        <w:rPr>
          <w:lang w:val="en-GB"/>
        </w:rPr>
        <w:t xml:space="preserve"> so</w:t>
      </w:r>
      <w:r w:rsidR="00915A58" w:rsidRPr="00570B5D">
        <w:rPr>
          <w:lang w:val="en-GB"/>
        </w:rPr>
        <w:t>. Secured d</w:t>
      </w:r>
      <w:r w:rsidR="00400F79" w:rsidRPr="00570B5D">
        <w:rPr>
          <w:lang w:val="en-GB"/>
        </w:rPr>
        <w:t xml:space="preserve">ebt </w:t>
      </w:r>
      <w:r w:rsidRPr="00570B5D">
        <w:rPr>
          <w:lang w:val="en-GB"/>
        </w:rPr>
        <w:t xml:space="preserve">(debt that is </w:t>
      </w:r>
      <w:r w:rsidR="00400F79" w:rsidRPr="00570B5D">
        <w:rPr>
          <w:lang w:val="en-GB"/>
        </w:rPr>
        <w:t>collateralis</w:t>
      </w:r>
      <w:r w:rsidR="005F12AA" w:rsidRPr="00570B5D">
        <w:rPr>
          <w:lang w:val="en-GB"/>
        </w:rPr>
        <w:t>ed by assets of some form</w:t>
      </w:r>
      <w:r w:rsidRPr="00570B5D">
        <w:rPr>
          <w:lang w:val="en-GB"/>
        </w:rPr>
        <w:t>)</w:t>
      </w:r>
      <w:r w:rsidR="005F12AA" w:rsidRPr="00570B5D">
        <w:rPr>
          <w:lang w:val="en-GB"/>
        </w:rPr>
        <w:t xml:space="preserve"> is </w:t>
      </w:r>
      <w:r w:rsidRPr="00570B5D">
        <w:rPr>
          <w:lang w:val="en-GB"/>
        </w:rPr>
        <w:t xml:space="preserve">found mainly in </w:t>
      </w:r>
      <w:r w:rsidR="005F12AA" w:rsidRPr="00570B5D">
        <w:rPr>
          <w:lang w:val="en-GB"/>
        </w:rPr>
        <w:t>developed economy households</w:t>
      </w:r>
      <w:r w:rsidRPr="00570B5D">
        <w:rPr>
          <w:lang w:val="en-GB"/>
        </w:rPr>
        <w:t>,</w:t>
      </w:r>
      <w:r w:rsidR="005F12AA" w:rsidRPr="00570B5D">
        <w:rPr>
          <w:lang w:val="en-GB"/>
        </w:rPr>
        <w:t xml:space="preserve"> </w:t>
      </w:r>
      <w:r w:rsidRPr="00570B5D">
        <w:rPr>
          <w:lang w:val="en-GB"/>
        </w:rPr>
        <w:t>w</w:t>
      </w:r>
      <w:r w:rsidR="00E51E65" w:rsidRPr="00570B5D">
        <w:rPr>
          <w:lang w:val="en-GB"/>
        </w:rPr>
        <w:t xml:space="preserve">hile </w:t>
      </w:r>
      <w:r w:rsidR="005F12AA" w:rsidRPr="00570B5D">
        <w:rPr>
          <w:lang w:val="en-GB"/>
        </w:rPr>
        <w:t xml:space="preserve">the fractions of households holding unsecured debt </w:t>
      </w:r>
      <w:r w:rsidR="0084214D">
        <w:rPr>
          <w:lang w:val="en-GB"/>
        </w:rPr>
        <w:t xml:space="preserve">are </w:t>
      </w:r>
      <w:r w:rsidR="005F12AA" w:rsidRPr="00570B5D">
        <w:rPr>
          <w:lang w:val="en-GB"/>
        </w:rPr>
        <w:t>similar in developed and emerging economies.</w:t>
      </w:r>
    </w:p>
    <w:p w:rsidR="005D3C4C" w:rsidRPr="00570B5D" w:rsidRDefault="00ED1FF5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  <w:r w:rsidRPr="00570B5D">
        <w:rPr>
          <w:lang w:val="en-GB"/>
        </w:rPr>
        <w:t>I</w:t>
      </w:r>
      <w:r w:rsidR="005F12AA" w:rsidRPr="00570B5D">
        <w:rPr>
          <w:lang w:val="en-GB"/>
        </w:rPr>
        <w:t>n terms of monthly consumption expenditures, households in developed countries are more likely to be renters and to repay debt</w:t>
      </w:r>
      <w:r w:rsidR="00F53E0B" w:rsidRPr="00570B5D">
        <w:rPr>
          <w:lang w:val="en-GB"/>
        </w:rPr>
        <w:t xml:space="preserve">. But they are </w:t>
      </w:r>
      <w:r w:rsidR="005F12AA" w:rsidRPr="00570B5D">
        <w:rPr>
          <w:lang w:val="en-GB"/>
        </w:rPr>
        <w:t>also more lik</w:t>
      </w:r>
      <w:r w:rsidR="00CA0C1B" w:rsidRPr="00570B5D">
        <w:rPr>
          <w:lang w:val="en-GB"/>
        </w:rPr>
        <w:t>ely to have excess savings</w:t>
      </w:r>
      <w:r w:rsidR="00C27E5D" w:rsidRPr="00570B5D">
        <w:rPr>
          <w:lang w:val="en-GB"/>
        </w:rPr>
        <w:t xml:space="preserve"> –</w:t>
      </w:r>
      <w:r w:rsidR="00CA0C1B" w:rsidRPr="00570B5D">
        <w:rPr>
          <w:lang w:val="en-GB"/>
        </w:rPr>
        <w:t xml:space="preserve"> that is</w:t>
      </w:r>
      <w:r w:rsidR="005F12AA" w:rsidRPr="00570B5D">
        <w:rPr>
          <w:lang w:val="en-GB"/>
        </w:rPr>
        <w:t>, enough excess income to engage in non-essential purchases and to accumulate savings.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  <w:r w:rsidRPr="00570B5D">
        <w:rPr>
          <w:lang w:val="en-GB"/>
        </w:rPr>
        <w:t xml:space="preserve">Figure </w:t>
      </w:r>
      <w:hyperlink w:anchor="_bookmark2" w:history="1">
        <w:r w:rsidRPr="00570B5D">
          <w:rPr>
            <w:lang w:val="en-GB"/>
          </w:rPr>
          <w:t>2</w:t>
        </w:r>
      </w:hyperlink>
      <w:r w:rsidRPr="00570B5D">
        <w:rPr>
          <w:lang w:val="en-GB"/>
        </w:rPr>
        <w:t xml:space="preserve"> takes a </w:t>
      </w:r>
      <w:r w:rsidR="00C27E5D" w:rsidRPr="00570B5D">
        <w:rPr>
          <w:lang w:val="en-GB"/>
        </w:rPr>
        <w:t>‘</w:t>
      </w:r>
      <w:r w:rsidRPr="00570B5D">
        <w:rPr>
          <w:lang w:val="en-GB"/>
        </w:rPr>
        <w:t>balance sheet</w:t>
      </w:r>
      <w:r w:rsidR="00C27E5D" w:rsidRPr="00570B5D">
        <w:rPr>
          <w:lang w:val="en-GB"/>
        </w:rPr>
        <w:t>’</w:t>
      </w:r>
      <w:r w:rsidRPr="00570B5D">
        <w:rPr>
          <w:lang w:val="en-GB"/>
        </w:rPr>
        <w:t xml:space="preserve"> view of household assets and liabilities, adding up all households into a single </w:t>
      </w:r>
      <w:r w:rsidR="00E51E65" w:rsidRPr="00570B5D">
        <w:rPr>
          <w:lang w:val="en-GB"/>
        </w:rPr>
        <w:t>‘</w:t>
      </w:r>
      <w:r w:rsidRPr="00570B5D">
        <w:rPr>
          <w:lang w:val="en-GB"/>
        </w:rPr>
        <w:t>representative household</w:t>
      </w:r>
      <w:r w:rsidR="00E51E65" w:rsidRPr="00570B5D">
        <w:rPr>
          <w:lang w:val="en-GB"/>
        </w:rPr>
        <w:t>’</w:t>
      </w:r>
      <w:r w:rsidRPr="00570B5D">
        <w:rPr>
          <w:lang w:val="en-GB"/>
        </w:rPr>
        <w:t xml:space="preserve"> and showing the shares of different assets and liabilities for this </w:t>
      </w:r>
      <w:r w:rsidR="00C27E5D" w:rsidRPr="00570B5D">
        <w:rPr>
          <w:lang w:val="en-GB"/>
        </w:rPr>
        <w:t xml:space="preserve">grouped </w:t>
      </w:r>
      <w:r w:rsidRPr="00570B5D">
        <w:rPr>
          <w:lang w:val="en-GB"/>
        </w:rPr>
        <w:t xml:space="preserve">entity. Across all countries, physical assets account for the largest share of total assets, and households hold only relatively </w:t>
      </w:r>
      <w:r w:rsidR="00A2419D" w:rsidRPr="00570B5D">
        <w:rPr>
          <w:lang w:val="en-GB"/>
        </w:rPr>
        <w:t>modest levels</w:t>
      </w:r>
      <w:r w:rsidRPr="00570B5D">
        <w:rPr>
          <w:lang w:val="en-GB"/>
        </w:rPr>
        <w:t xml:space="preserve"> of</w:t>
      </w:r>
      <w:r w:rsidR="005D3C4C" w:rsidRPr="00570B5D">
        <w:rPr>
          <w:lang w:val="en-GB"/>
        </w:rPr>
        <w:t xml:space="preserve"> </w:t>
      </w:r>
      <w:r w:rsidRPr="00570B5D">
        <w:rPr>
          <w:lang w:val="en-GB"/>
        </w:rPr>
        <w:t xml:space="preserve">liquid financial assets. </w:t>
      </w:r>
    </w:p>
    <w:p w:rsidR="005D3C4C" w:rsidRPr="00570B5D" w:rsidRDefault="00771656" w:rsidP="00007635">
      <w:pPr>
        <w:pStyle w:val="BodyText"/>
        <w:spacing w:beforeLines="120" w:afterLines="120" w:line="360" w:lineRule="auto"/>
        <w:ind w:right="100"/>
        <w:jc w:val="both"/>
        <w:rPr>
          <w:b/>
          <w:bCs/>
          <w:lang w:val="en-GB"/>
        </w:rPr>
      </w:pPr>
      <w:r w:rsidRPr="00570B5D">
        <w:rPr>
          <w:b/>
          <w:bCs/>
          <w:lang w:val="en-GB"/>
        </w:rPr>
        <w:t>Figure 2: Balance sheet of the representative household</w:t>
      </w:r>
    </w:p>
    <w:p w:rsidR="00E51E65" w:rsidRPr="00570B5D" w:rsidRDefault="00E51E65" w:rsidP="00007635">
      <w:pPr>
        <w:pStyle w:val="BodyText"/>
        <w:spacing w:beforeLines="120" w:afterLines="120" w:line="360" w:lineRule="auto"/>
        <w:ind w:left="101" w:right="100" w:firstLine="351"/>
        <w:jc w:val="both"/>
        <w:rPr>
          <w:lang w:val="en-GB"/>
        </w:rPr>
      </w:pPr>
      <w:r w:rsidRPr="00570B5D">
        <w:rPr>
          <w:noProof/>
          <w:lang w:val="en-GB"/>
        </w:rPr>
        <w:drawing>
          <wp:inline distT="0" distB="0" distL="0" distR="0">
            <wp:extent cx="5569527" cy="4942081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924" cy="49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E7" w:rsidRPr="00570B5D" w:rsidRDefault="00771656" w:rsidP="00007635">
      <w:pPr>
        <w:pStyle w:val="BodyText"/>
        <w:spacing w:beforeLines="120" w:afterLines="120" w:line="360" w:lineRule="auto"/>
        <w:ind w:left="101" w:right="100" w:firstLine="351"/>
        <w:jc w:val="both"/>
        <w:rPr>
          <w:lang w:val="en-GB"/>
        </w:rPr>
      </w:pPr>
      <w:r w:rsidRPr="00570B5D">
        <w:rPr>
          <w:i/>
          <w:iCs/>
          <w:lang w:val="en-GB"/>
        </w:rPr>
        <w:t>Source: Authors’ calculations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  <w:r w:rsidRPr="00570B5D">
        <w:rPr>
          <w:lang w:val="en-GB"/>
        </w:rPr>
        <w:t xml:space="preserve">On the liabilities side of the household balance sheet, unsecured borrowing accounts for a very small share of outstanding debt. </w:t>
      </w:r>
      <w:r w:rsidR="00C27E5D" w:rsidRPr="00570B5D">
        <w:rPr>
          <w:lang w:val="en-GB"/>
        </w:rPr>
        <w:t>I</w:t>
      </w:r>
      <w:r w:rsidRPr="00570B5D">
        <w:rPr>
          <w:lang w:val="en-GB"/>
        </w:rPr>
        <w:t>n emerging markets</w:t>
      </w:r>
      <w:r w:rsidR="00C27E5D" w:rsidRPr="00570B5D">
        <w:rPr>
          <w:lang w:val="en-GB"/>
        </w:rPr>
        <w:t xml:space="preserve"> especially</w:t>
      </w:r>
      <w:r w:rsidRPr="00570B5D">
        <w:rPr>
          <w:lang w:val="en-GB"/>
        </w:rPr>
        <w:t>, this reflects the limited ability of households to access credit products, a</w:t>
      </w:r>
      <w:r w:rsidR="00334F8F" w:rsidRPr="00570B5D">
        <w:rPr>
          <w:lang w:val="en-GB"/>
        </w:rPr>
        <w:t xml:space="preserve">s well as </w:t>
      </w:r>
      <w:r w:rsidRPr="00570B5D">
        <w:rPr>
          <w:lang w:val="en-GB"/>
        </w:rPr>
        <w:t>the often</w:t>
      </w:r>
      <w:r w:rsidR="00334F8F" w:rsidRPr="00570B5D">
        <w:rPr>
          <w:lang w:val="en-GB"/>
        </w:rPr>
        <w:t>-</w:t>
      </w:r>
      <w:r w:rsidRPr="00570B5D">
        <w:rPr>
          <w:lang w:val="en-GB"/>
        </w:rPr>
        <w:t>prohibitive costs of both formal and informal borrowing. This may also reflect unrecorded informal debt obligations, or obligations to family and friends</w:t>
      </w:r>
      <w:r w:rsidR="00334F8F" w:rsidRPr="00570B5D">
        <w:rPr>
          <w:lang w:val="en-GB"/>
        </w:rPr>
        <w:t>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102"/>
        <w:jc w:val="both"/>
        <w:rPr>
          <w:lang w:val="en-GB"/>
        </w:rPr>
      </w:pPr>
      <w:r w:rsidRPr="00570B5D">
        <w:rPr>
          <w:lang w:val="en-GB"/>
        </w:rPr>
        <w:t xml:space="preserve">Finally, the representative household in emerging economies spends a larger share of income on food, utilities and rent than </w:t>
      </w:r>
      <w:r w:rsidR="00DD08B6" w:rsidRPr="00570B5D">
        <w:rPr>
          <w:lang w:val="en-GB"/>
        </w:rPr>
        <w:t>their</w:t>
      </w:r>
      <w:r w:rsidRPr="00570B5D">
        <w:rPr>
          <w:lang w:val="en-GB"/>
        </w:rPr>
        <w:t xml:space="preserve"> counterpart in </w:t>
      </w:r>
      <w:r w:rsidR="00334F8F" w:rsidRPr="00570B5D">
        <w:rPr>
          <w:lang w:val="en-GB"/>
        </w:rPr>
        <w:t xml:space="preserve">a </w:t>
      </w:r>
      <w:r w:rsidRPr="00570B5D">
        <w:rPr>
          <w:lang w:val="en-GB"/>
        </w:rPr>
        <w:t>developed econom</w:t>
      </w:r>
      <w:r w:rsidR="00334F8F" w:rsidRPr="00570B5D">
        <w:rPr>
          <w:lang w:val="en-GB"/>
        </w:rPr>
        <w:t>y</w:t>
      </w:r>
      <w:r w:rsidRPr="00570B5D">
        <w:rPr>
          <w:lang w:val="en-GB"/>
        </w:rPr>
        <w:t xml:space="preserve">, an almost negligible </w:t>
      </w:r>
      <w:r w:rsidR="00DD08B6" w:rsidRPr="00570B5D">
        <w:rPr>
          <w:lang w:val="en-GB"/>
        </w:rPr>
        <w:t>amount is allocated to</w:t>
      </w:r>
      <w:r w:rsidRPr="00570B5D">
        <w:rPr>
          <w:lang w:val="en-GB"/>
        </w:rPr>
        <w:t xml:space="preserve"> debt repayment</w:t>
      </w:r>
      <w:r w:rsidR="00DD08B6" w:rsidRPr="00570B5D">
        <w:rPr>
          <w:lang w:val="en-GB"/>
        </w:rPr>
        <w:t>, and a significantly lower fraction of income remains to cover non-essential consumption and savings</w:t>
      </w:r>
      <w:r w:rsidR="00365A31" w:rsidRPr="00570B5D">
        <w:rPr>
          <w:lang w:val="en-GB"/>
        </w:rPr>
        <w:t xml:space="preserve"> </w:t>
      </w:r>
      <w:r w:rsidR="00263474">
        <w:rPr>
          <w:lang w:val="en-GB"/>
        </w:rPr>
        <w:t xml:space="preserve">– </w:t>
      </w:r>
      <w:r w:rsidR="00334F8F" w:rsidRPr="00570B5D">
        <w:rPr>
          <w:lang w:val="en-GB"/>
        </w:rPr>
        <w:t xml:space="preserve">around </w:t>
      </w:r>
      <w:r w:rsidRPr="00570B5D">
        <w:rPr>
          <w:lang w:val="en-GB"/>
        </w:rPr>
        <w:t>40%</w:t>
      </w:r>
      <w:r w:rsidR="00DD08B6" w:rsidRPr="00570B5D">
        <w:rPr>
          <w:lang w:val="en-GB"/>
        </w:rPr>
        <w:t xml:space="preserve"> compared </w:t>
      </w:r>
      <w:r w:rsidR="00365A31" w:rsidRPr="00570B5D">
        <w:rPr>
          <w:lang w:val="en-GB"/>
        </w:rPr>
        <w:t>with</w:t>
      </w:r>
      <w:r w:rsidRPr="00570B5D">
        <w:rPr>
          <w:rFonts w:ascii="Arial" w:hAnsi="Arial"/>
          <w:i/>
          <w:lang w:val="en-GB"/>
        </w:rPr>
        <w:t xml:space="preserve"> </w:t>
      </w:r>
      <w:r w:rsidRPr="00570B5D">
        <w:rPr>
          <w:lang w:val="en-GB"/>
        </w:rPr>
        <w:t xml:space="preserve">63% </w:t>
      </w:r>
      <w:r w:rsidR="00DD08B6" w:rsidRPr="00570B5D">
        <w:rPr>
          <w:lang w:val="en-GB"/>
        </w:rPr>
        <w:t xml:space="preserve">for </w:t>
      </w:r>
      <w:r w:rsidR="00E32DFD" w:rsidRPr="00570B5D">
        <w:rPr>
          <w:lang w:val="en-GB"/>
        </w:rPr>
        <w:t>a typical</w:t>
      </w:r>
      <w:r w:rsidR="00DD08B6" w:rsidRPr="00570B5D">
        <w:rPr>
          <w:lang w:val="en-GB"/>
        </w:rPr>
        <w:t xml:space="preserve"> household in a developed economy.</w:t>
      </w:r>
    </w:p>
    <w:p w:rsidR="00ED1FF5" w:rsidRPr="00570B5D" w:rsidRDefault="00ED1FF5" w:rsidP="00007635">
      <w:pPr>
        <w:pStyle w:val="Heading1"/>
        <w:spacing w:beforeLines="120" w:afterLines="120" w:line="360" w:lineRule="auto"/>
        <w:ind w:left="0"/>
        <w:rPr>
          <w:lang w:val="en-GB"/>
        </w:rPr>
      </w:pPr>
    </w:p>
    <w:p w:rsidR="005D3C4C" w:rsidRPr="00570B5D" w:rsidRDefault="00E51E65" w:rsidP="00007635">
      <w:pPr>
        <w:pStyle w:val="Heading1"/>
        <w:spacing w:beforeLines="120" w:afterLines="120" w:line="360" w:lineRule="auto"/>
        <w:ind w:left="0"/>
        <w:rPr>
          <w:lang w:val="en-GB"/>
        </w:rPr>
      </w:pPr>
      <w:r w:rsidRPr="00570B5D">
        <w:rPr>
          <w:lang w:val="en-GB"/>
        </w:rPr>
        <w:t>How can we quantify and compare financial vulnerability?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101"/>
        <w:jc w:val="both"/>
        <w:rPr>
          <w:lang w:val="en-GB"/>
        </w:rPr>
      </w:pPr>
      <w:r w:rsidRPr="00570B5D">
        <w:rPr>
          <w:lang w:val="en-GB"/>
        </w:rPr>
        <w:t xml:space="preserve">Liquid financial wealth on household balance sheets is an essential buffer in the event of an income shock. </w:t>
      </w:r>
      <w:r w:rsidR="006A3C26" w:rsidRPr="00570B5D">
        <w:rPr>
          <w:lang w:val="en-GB"/>
        </w:rPr>
        <w:t>A h</w:t>
      </w:r>
      <w:r w:rsidRPr="00570B5D">
        <w:rPr>
          <w:lang w:val="en-GB"/>
        </w:rPr>
        <w:t>ousehold</w:t>
      </w:r>
      <w:r w:rsidR="006A3C26" w:rsidRPr="00570B5D">
        <w:rPr>
          <w:lang w:val="en-GB"/>
        </w:rPr>
        <w:t>’s</w:t>
      </w:r>
      <w:r w:rsidRPr="00570B5D">
        <w:rPr>
          <w:lang w:val="en-GB"/>
        </w:rPr>
        <w:t xml:space="preserve"> resilience </w:t>
      </w:r>
      <w:r w:rsidR="00334F8F" w:rsidRPr="00570B5D">
        <w:rPr>
          <w:lang w:val="en-GB"/>
        </w:rPr>
        <w:t xml:space="preserve">or </w:t>
      </w:r>
      <w:r w:rsidRPr="00570B5D">
        <w:rPr>
          <w:lang w:val="en-GB"/>
        </w:rPr>
        <w:t xml:space="preserve">vulnerability </w:t>
      </w:r>
      <w:r w:rsidR="00E51E65" w:rsidRPr="00570B5D">
        <w:rPr>
          <w:lang w:val="en-GB"/>
        </w:rPr>
        <w:t xml:space="preserve">can be computed </w:t>
      </w:r>
      <w:r w:rsidRPr="00570B5D">
        <w:rPr>
          <w:lang w:val="en-GB"/>
        </w:rPr>
        <w:t xml:space="preserve">as </w:t>
      </w:r>
      <w:r w:rsidR="006A3C26" w:rsidRPr="00570B5D">
        <w:rPr>
          <w:lang w:val="en-GB"/>
        </w:rPr>
        <w:t xml:space="preserve">its </w:t>
      </w:r>
      <w:r w:rsidRPr="00570B5D">
        <w:rPr>
          <w:lang w:val="en-GB"/>
        </w:rPr>
        <w:t>total level of liquid financial wealth divided by its total monthly consumption expenditure.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  <w:r w:rsidRPr="00570B5D">
        <w:rPr>
          <w:lang w:val="en-GB"/>
        </w:rPr>
        <w:t xml:space="preserve">This measure of resilience </w:t>
      </w:r>
      <w:r w:rsidR="009B6111" w:rsidRPr="00570B5D">
        <w:rPr>
          <w:lang w:val="en-GB"/>
        </w:rPr>
        <w:t>tell</w:t>
      </w:r>
      <w:r w:rsidR="00334F8F" w:rsidRPr="00570B5D">
        <w:rPr>
          <w:lang w:val="en-GB"/>
        </w:rPr>
        <w:t>s</w:t>
      </w:r>
      <w:r w:rsidR="009B6111" w:rsidRPr="00570B5D">
        <w:rPr>
          <w:lang w:val="en-GB"/>
        </w:rPr>
        <w:t xml:space="preserve"> us</w:t>
      </w:r>
      <w:r w:rsidRPr="00570B5D">
        <w:rPr>
          <w:lang w:val="en-GB"/>
        </w:rPr>
        <w:t xml:space="preserve"> </w:t>
      </w:r>
      <w:r w:rsidR="009B6111" w:rsidRPr="00570B5D">
        <w:rPr>
          <w:lang w:val="en-GB"/>
        </w:rPr>
        <w:t xml:space="preserve">how many </w:t>
      </w:r>
      <w:r w:rsidRPr="00570B5D">
        <w:rPr>
          <w:lang w:val="en-GB"/>
        </w:rPr>
        <w:t xml:space="preserve">months a given household can maintain its level of consumption after </w:t>
      </w:r>
      <w:r w:rsidR="00ED1FF5" w:rsidRPr="00570B5D">
        <w:rPr>
          <w:lang w:val="en-GB"/>
        </w:rPr>
        <w:t>an income</w:t>
      </w:r>
      <w:r w:rsidRPr="00570B5D">
        <w:rPr>
          <w:lang w:val="en-GB"/>
        </w:rPr>
        <w:t xml:space="preserve"> shock by solely relying on its financial wealth. In a given country’s population, the </w:t>
      </w:r>
      <w:r w:rsidR="007C108D" w:rsidRPr="00570B5D">
        <w:rPr>
          <w:lang w:val="en-GB"/>
        </w:rPr>
        <w:t>level of</w:t>
      </w:r>
      <w:r w:rsidRPr="00570B5D">
        <w:rPr>
          <w:lang w:val="en-GB"/>
        </w:rPr>
        <w:t xml:space="preserve"> financial wealth across households and the patterns of consumption across this distribution </w:t>
      </w:r>
      <w:r w:rsidR="00885809">
        <w:rPr>
          <w:lang w:val="en-GB"/>
        </w:rPr>
        <w:t xml:space="preserve">jointly </w:t>
      </w:r>
      <w:r w:rsidRPr="00570B5D">
        <w:rPr>
          <w:lang w:val="en-GB"/>
        </w:rPr>
        <w:t xml:space="preserve">determine the </w:t>
      </w:r>
      <w:r w:rsidR="007C108D" w:rsidRPr="00570B5D">
        <w:rPr>
          <w:lang w:val="en-GB"/>
        </w:rPr>
        <w:t xml:space="preserve">level </w:t>
      </w:r>
      <w:r w:rsidRPr="00570B5D">
        <w:rPr>
          <w:lang w:val="en-GB"/>
        </w:rPr>
        <w:t>of resilience of the country’s households.</w:t>
      </w:r>
    </w:p>
    <w:p w:rsidR="000429A0" w:rsidRDefault="005F12AA" w:rsidP="00007635">
      <w:pPr>
        <w:pStyle w:val="BodyText"/>
        <w:spacing w:beforeLines="120" w:afterLines="120" w:line="360" w:lineRule="auto"/>
        <w:ind w:right="101"/>
        <w:jc w:val="both"/>
        <w:rPr>
          <w:lang w:val="en-GB"/>
        </w:rPr>
      </w:pPr>
      <w:r w:rsidRPr="00570B5D">
        <w:rPr>
          <w:lang w:val="en-GB"/>
        </w:rPr>
        <w:t xml:space="preserve">Figure </w:t>
      </w:r>
      <w:hyperlink w:anchor="_bookmark3" w:history="1">
        <w:r w:rsidRPr="00570B5D">
          <w:rPr>
            <w:lang w:val="en-GB"/>
          </w:rPr>
          <w:t xml:space="preserve">3 </w:t>
        </w:r>
      </w:hyperlink>
      <w:r w:rsidRPr="00570B5D">
        <w:rPr>
          <w:lang w:val="en-GB"/>
        </w:rPr>
        <w:t xml:space="preserve">reports the fraction of households in each country in </w:t>
      </w:r>
      <w:r w:rsidR="009B6111" w:rsidRPr="00570B5D">
        <w:rPr>
          <w:lang w:val="en-GB"/>
        </w:rPr>
        <w:t>the</w:t>
      </w:r>
      <w:r w:rsidRPr="00570B5D">
        <w:rPr>
          <w:lang w:val="en-GB"/>
        </w:rPr>
        <w:t xml:space="preserve"> sample </w:t>
      </w:r>
      <w:r w:rsidR="007C108D" w:rsidRPr="00570B5D">
        <w:rPr>
          <w:lang w:val="en-GB"/>
        </w:rPr>
        <w:t xml:space="preserve">(of 12 developed and 12 emerging economies) that have a resilience level </w:t>
      </w:r>
      <w:r w:rsidRPr="00570B5D">
        <w:rPr>
          <w:lang w:val="en-GB"/>
        </w:rPr>
        <w:t xml:space="preserve">below </w:t>
      </w:r>
      <w:r w:rsidR="00887884" w:rsidRPr="00570B5D">
        <w:rPr>
          <w:lang w:val="en-GB"/>
        </w:rPr>
        <w:t>three</w:t>
      </w:r>
      <w:r w:rsidRPr="00570B5D">
        <w:rPr>
          <w:lang w:val="en-GB"/>
        </w:rPr>
        <w:t xml:space="preserve"> months, </w:t>
      </w:r>
      <w:r w:rsidR="00887884" w:rsidRPr="00570B5D">
        <w:rPr>
          <w:lang w:val="en-GB"/>
        </w:rPr>
        <w:t>six</w:t>
      </w:r>
      <w:r w:rsidRPr="00570B5D">
        <w:rPr>
          <w:lang w:val="en-GB"/>
        </w:rPr>
        <w:t xml:space="preserve"> months and </w:t>
      </w:r>
      <w:r w:rsidR="00887884" w:rsidRPr="00570B5D">
        <w:rPr>
          <w:lang w:val="en-GB"/>
        </w:rPr>
        <w:t>one</w:t>
      </w:r>
      <w:r w:rsidR="000429A0">
        <w:rPr>
          <w:lang w:val="en-GB"/>
        </w:rPr>
        <w:t xml:space="preserve"> year.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101"/>
        <w:jc w:val="both"/>
        <w:rPr>
          <w:lang w:val="en-GB"/>
        </w:rPr>
      </w:pPr>
      <w:r w:rsidRPr="00570B5D">
        <w:rPr>
          <w:lang w:val="en-GB"/>
        </w:rPr>
        <w:t>There is significant variation in resilience across</w:t>
      </w:r>
      <w:r w:rsidR="00E41D47" w:rsidRPr="00570B5D">
        <w:rPr>
          <w:lang w:val="en-GB"/>
        </w:rPr>
        <w:t xml:space="preserve"> </w:t>
      </w:r>
      <w:r w:rsidRPr="00570B5D">
        <w:rPr>
          <w:lang w:val="en-GB"/>
        </w:rPr>
        <w:t xml:space="preserve">these 24 countries. While the fraction of households that </w:t>
      </w:r>
      <w:r w:rsidR="00771656" w:rsidRPr="00570B5D">
        <w:rPr>
          <w:iCs/>
          <w:lang w:val="en-GB"/>
        </w:rPr>
        <w:t>cannot</w:t>
      </w:r>
      <w:r w:rsidRPr="00570B5D">
        <w:rPr>
          <w:i/>
          <w:lang w:val="en-GB"/>
        </w:rPr>
        <w:t xml:space="preserve"> </w:t>
      </w:r>
      <w:r w:rsidRPr="00570B5D">
        <w:rPr>
          <w:lang w:val="en-GB"/>
        </w:rPr>
        <w:t>self-sustain using financial wealth for three months is higher on average for emerging markets (</w:t>
      </w:r>
      <w:r w:rsidR="00334F8F" w:rsidRPr="00570B5D">
        <w:rPr>
          <w:lang w:val="en-GB"/>
        </w:rPr>
        <w:t xml:space="preserve">around </w:t>
      </w:r>
      <w:r w:rsidRPr="00570B5D">
        <w:rPr>
          <w:lang w:val="en-GB"/>
        </w:rPr>
        <w:t>50%) than developed markets (</w:t>
      </w:r>
      <w:r w:rsidR="00334F8F" w:rsidRPr="00570B5D">
        <w:rPr>
          <w:lang w:val="en-GB"/>
        </w:rPr>
        <w:t xml:space="preserve">around </w:t>
      </w:r>
      <w:r w:rsidR="002F5D62" w:rsidRPr="00570B5D">
        <w:rPr>
          <w:lang w:val="en-GB"/>
        </w:rPr>
        <w:t>40</w:t>
      </w:r>
      <w:r w:rsidRPr="00570B5D">
        <w:rPr>
          <w:lang w:val="en-GB"/>
        </w:rPr>
        <w:t>%)</w:t>
      </w:r>
      <w:r w:rsidR="007D7083" w:rsidRPr="00570B5D">
        <w:rPr>
          <w:lang w:val="en-GB"/>
        </w:rPr>
        <w:t>,</w:t>
      </w:r>
      <w:r w:rsidRPr="00570B5D">
        <w:rPr>
          <w:lang w:val="en-GB"/>
        </w:rPr>
        <w:t xml:space="preserve"> </w:t>
      </w:r>
      <w:r w:rsidR="007D7083" w:rsidRPr="00570B5D">
        <w:rPr>
          <w:lang w:val="en-GB"/>
        </w:rPr>
        <w:t>i</w:t>
      </w:r>
      <w:r w:rsidRPr="00570B5D">
        <w:rPr>
          <w:lang w:val="en-GB"/>
        </w:rPr>
        <w:t xml:space="preserve">t is noteworthy that by the </w:t>
      </w:r>
      <w:r w:rsidR="009B6111" w:rsidRPr="00570B5D">
        <w:rPr>
          <w:lang w:val="en-GB"/>
        </w:rPr>
        <w:t>one</w:t>
      </w:r>
      <w:r w:rsidRPr="00570B5D">
        <w:rPr>
          <w:lang w:val="en-GB"/>
        </w:rPr>
        <w:t>-year mark, the vulnerable fraction of the population is not very different across emerging and developed economies</w:t>
      </w:r>
      <w:r w:rsidR="00334F8F" w:rsidRPr="00570B5D">
        <w:rPr>
          <w:lang w:val="en-GB"/>
        </w:rPr>
        <w:t>,</w:t>
      </w:r>
      <w:r w:rsidRPr="00570B5D">
        <w:rPr>
          <w:lang w:val="en-GB"/>
        </w:rPr>
        <w:t xml:space="preserve"> at around 70%.</w:t>
      </w:r>
    </w:p>
    <w:p w:rsidR="005D3C4C" w:rsidRPr="00570B5D" w:rsidRDefault="00771656" w:rsidP="00007635">
      <w:pPr>
        <w:pStyle w:val="BodyText"/>
        <w:spacing w:beforeLines="120" w:afterLines="120" w:line="360" w:lineRule="auto"/>
        <w:ind w:right="101"/>
        <w:jc w:val="both"/>
        <w:rPr>
          <w:b/>
          <w:bCs/>
          <w:lang w:val="en-GB"/>
        </w:rPr>
      </w:pPr>
      <w:r w:rsidRPr="00570B5D">
        <w:rPr>
          <w:b/>
          <w:bCs/>
          <w:lang w:val="en-GB"/>
        </w:rPr>
        <w:t>Figure 3: Financial vulnerability in the face of income shocks</w:t>
      </w:r>
    </w:p>
    <w:p w:rsidR="007C108D" w:rsidRPr="00570B5D" w:rsidRDefault="007C108D" w:rsidP="00007635">
      <w:pPr>
        <w:pStyle w:val="BodyText"/>
        <w:spacing w:beforeLines="120" w:afterLines="120" w:line="360" w:lineRule="auto"/>
        <w:ind w:left="101" w:right="101" w:firstLine="351"/>
        <w:jc w:val="both"/>
        <w:rPr>
          <w:lang w:val="en-GB"/>
        </w:rPr>
      </w:pPr>
      <w:r w:rsidRPr="00570B5D">
        <w:rPr>
          <w:noProof/>
          <w:lang w:val="en-GB"/>
        </w:rPr>
        <w:drawing>
          <wp:inline distT="0" distB="0" distL="0" distR="0">
            <wp:extent cx="4605959" cy="3965171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869" cy="39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C" w:rsidRPr="00570B5D" w:rsidRDefault="00771656" w:rsidP="00007635">
      <w:pPr>
        <w:pStyle w:val="BodyText"/>
        <w:spacing w:beforeLines="120" w:afterLines="120" w:line="360" w:lineRule="auto"/>
        <w:ind w:left="101" w:right="101"/>
        <w:jc w:val="both"/>
        <w:rPr>
          <w:i/>
          <w:iCs/>
          <w:lang w:val="en-GB"/>
        </w:rPr>
      </w:pPr>
      <w:r w:rsidRPr="00570B5D">
        <w:rPr>
          <w:i/>
          <w:iCs/>
          <w:lang w:val="en-GB"/>
        </w:rPr>
        <w:t xml:space="preserve">Source: Authors’ calculations. </w:t>
      </w:r>
    </w:p>
    <w:p w:rsidR="005D3C4C" w:rsidRPr="00570B5D" w:rsidRDefault="00771656" w:rsidP="00007635">
      <w:pPr>
        <w:pStyle w:val="BodyText"/>
        <w:spacing w:beforeLines="120" w:afterLines="120" w:line="360" w:lineRule="auto"/>
        <w:ind w:left="101" w:right="101"/>
        <w:jc w:val="both"/>
        <w:rPr>
          <w:lang w:val="en-GB"/>
        </w:rPr>
      </w:pPr>
      <w:r w:rsidRPr="00570B5D">
        <w:rPr>
          <w:i/>
          <w:iCs/>
          <w:lang w:val="en-GB"/>
        </w:rPr>
        <w:t xml:space="preserve">Note: A small number of households in each country consume amounts </w:t>
      </w:r>
      <w:r w:rsidR="000530D4" w:rsidRPr="00570B5D">
        <w:rPr>
          <w:i/>
          <w:iCs/>
          <w:lang w:val="en-GB"/>
        </w:rPr>
        <w:t xml:space="preserve">that </w:t>
      </w:r>
      <w:r w:rsidR="000E4066" w:rsidRPr="00570B5D">
        <w:rPr>
          <w:i/>
          <w:iCs/>
          <w:lang w:val="en-GB"/>
        </w:rPr>
        <w:t xml:space="preserve">exceed their incomes – </w:t>
      </w:r>
      <w:r w:rsidR="000530D4" w:rsidRPr="00570B5D">
        <w:rPr>
          <w:i/>
          <w:iCs/>
          <w:lang w:val="en-GB"/>
        </w:rPr>
        <w:t>for example</w:t>
      </w:r>
      <w:r w:rsidRPr="00570B5D">
        <w:rPr>
          <w:i/>
          <w:iCs/>
          <w:lang w:val="en-GB"/>
        </w:rPr>
        <w:t xml:space="preserve">, because they receive emergency relief or other forms of short-term income support </w:t>
      </w:r>
      <w:r w:rsidR="000530D4" w:rsidRPr="00570B5D">
        <w:rPr>
          <w:i/>
          <w:iCs/>
          <w:lang w:val="en-GB"/>
        </w:rPr>
        <w:t xml:space="preserve">that </w:t>
      </w:r>
      <w:r w:rsidR="001B58E5" w:rsidRPr="00570B5D">
        <w:rPr>
          <w:i/>
          <w:iCs/>
          <w:lang w:val="en-GB"/>
        </w:rPr>
        <w:t xml:space="preserve">are </w:t>
      </w:r>
      <w:r w:rsidRPr="00570B5D">
        <w:rPr>
          <w:i/>
          <w:iCs/>
          <w:lang w:val="en-GB"/>
        </w:rPr>
        <w:t>not reported in the surveys. Such households are excluded from the computation of net measure of financial vulnerability</w:t>
      </w:r>
      <w:r w:rsidR="007C108D" w:rsidRPr="00570B5D">
        <w:rPr>
          <w:lang w:val="en-GB"/>
        </w:rPr>
        <w:t>.</w:t>
      </w:r>
    </w:p>
    <w:p w:rsidR="003968C5" w:rsidRDefault="007C108D" w:rsidP="00007635">
      <w:pPr>
        <w:pStyle w:val="BodyText"/>
        <w:spacing w:beforeLines="120" w:afterLines="120" w:line="360" w:lineRule="auto"/>
        <w:ind w:left="101" w:right="99"/>
        <w:jc w:val="both"/>
        <w:rPr>
          <w:lang w:val="en-GB"/>
        </w:rPr>
      </w:pPr>
      <w:r w:rsidRPr="00570B5D">
        <w:rPr>
          <w:lang w:val="en-GB"/>
        </w:rPr>
        <w:t>How can households cope following an income shock?</w:t>
      </w:r>
      <w:r w:rsidR="002D3E77" w:rsidRPr="00570B5D">
        <w:rPr>
          <w:lang w:val="en-GB"/>
        </w:rPr>
        <w:t xml:space="preserve"> </w:t>
      </w:r>
      <w:r w:rsidR="003F5474" w:rsidRPr="00570B5D">
        <w:rPr>
          <w:lang w:val="en-GB"/>
        </w:rPr>
        <w:t xml:space="preserve">Figure 4 </w:t>
      </w:r>
      <w:r w:rsidR="00334F8F" w:rsidRPr="00570B5D">
        <w:rPr>
          <w:lang w:val="en-GB"/>
        </w:rPr>
        <w:t xml:space="preserve">displays </w:t>
      </w:r>
      <w:r w:rsidR="005F12AA" w:rsidRPr="00570B5D">
        <w:rPr>
          <w:lang w:val="en-GB"/>
        </w:rPr>
        <w:t>the impact of different coping mechanisms available to households, including the effect of the introduction of polic</w:t>
      </w:r>
      <w:r w:rsidR="003968C5">
        <w:rPr>
          <w:lang w:val="en-GB"/>
        </w:rPr>
        <w:t>y measures such as debt relief.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left="101" w:right="99"/>
        <w:jc w:val="both"/>
        <w:rPr>
          <w:lang w:val="en-GB"/>
        </w:rPr>
      </w:pPr>
      <w:r w:rsidRPr="00570B5D">
        <w:rPr>
          <w:lang w:val="en-GB"/>
        </w:rPr>
        <w:t>The left panel of the figure shows the cumu</w:t>
      </w:r>
      <w:r w:rsidR="00CA0C1B" w:rsidRPr="00570B5D">
        <w:rPr>
          <w:lang w:val="en-GB"/>
        </w:rPr>
        <w:t xml:space="preserve">lative share of vulnerable </w:t>
      </w:r>
      <w:r w:rsidRPr="00570B5D">
        <w:rPr>
          <w:lang w:val="en-GB"/>
        </w:rPr>
        <w:t>households for various months after the initial income shoc</w:t>
      </w:r>
      <w:r w:rsidR="003968C5">
        <w:rPr>
          <w:lang w:val="en-GB"/>
        </w:rPr>
        <w:t xml:space="preserve">k. The lower the curve on the vertical </w:t>
      </w:r>
      <w:r w:rsidRPr="00570B5D">
        <w:rPr>
          <w:lang w:val="en-GB"/>
        </w:rPr>
        <w:t xml:space="preserve">axis, the lower the fraction of vulnerable households; conversely, the higher the </w:t>
      </w:r>
      <w:r w:rsidR="002D3E77" w:rsidRPr="00570B5D">
        <w:rPr>
          <w:lang w:val="en-GB"/>
        </w:rPr>
        <w:t xml:space="preserve">curve, the higher the </w:t>
      </w:r>
      <w:r w:rsidRPr="00570B5D">
        <w:rPr>
          <w:lang w:val="en-GB"/>
        </w:rPr>
        <w:t>fraction of resilient households.</w:t>
      </w:r>
    </w:p>
    <w:p w:rsidR="005D3C4C" w:rsidRPr="00570B5D" w:rsidRDefault="003968C5" w:rsidP="00007635">
      <w:pPr>
        <w:pStyle w:val="BodyText"/>
        <w:spacing w:beforeLines="120" w:afterLines="120" w:line="360" w:lineRule="auto"/>
        <w:ind w:left="101"/>
        <w:jc w:val="both"/>
        <w:rPr>
          <w:lang w:val="en-GB"/>
        </w:rPr>
      </w:pPr>
      <w:r>
        <w:rPr>
          <w:lang w:val="en-GB"/>
        </w:rPr>
        <w:t xml:space="preserve">The figure </w:t>
      </w:r>
      <w:r w:rsidR="002D3E77" w:rsidRPr="00570B5D">
        <w:rPr>
          <w:lang w:val="en-GB"/>
        </w:rPr>
        <w:t xml:space="preserve">also </w:t>
      </w:r>
      <w:r w:rsidR="005F12AA" w:rsidRPr="00570B5D">
        <w:rPr>
          <w:lang w:val="en-GB"/>
        </w:rPr>
        <w:t xml:space="preserve">shows that if all household debt repayments were completely stopped </w:t>
      </w:r>
      <w:r w:rsidR="00334F8F" w:rsidRPr="00570B5D">
        <w:rPr>
          <w:lang w:val="en-GB"/>
        </w:rPr>
        <w:t>through</w:t>
      </w:r>
      <w:r w:rsidR="005F12AA" w:rsidRPr="00570B5D">
        <w:rPr>
          <w:lang w:val="en-GB"/>
        </w:rPr>
        <w:t xml:space="preserve"> policy, the vulnerability/resilience curve shifts only very marginally for developed markets, and </w:t>
      </w:r>
      <w:r w:rsidR="00B448A1">
        <w:rPr>
          <w:lang w:val="en-GB"/>
        </w:rPr>
        <w:t xml:space="preserve">it </w:t>
      </w:r>
      <w:r w:rsidR="005F12AA" w:rsidRPr="00570B5D">
        <w:rPr>
          <w:lang w:val="en-GB"/>
        </w:rPr>
        <w:t>hardly moves at</w:t>
      </w:r>
      <w:r w:rsidR="00E35650" w:rsidRPr="00570B5D">
        <w:rPr>
          <w:lang w:val="en-GB"/>
        </w:rPr>
        <w:t xml:space="preserve"> all </w:t>
      </w:r>
      <w:r w:rsidR="005F12AA" w:rsidRPr="00570B5D">
        <w:rPr>
          <w:lang w:val="en-GB"/>
        </w:rPr>
        <w:t>for emerging markets. This illustrates the relatively low</w:t>
      </w:r>
      <w:r w:rsidR="00334F8F" w:rsidRPr="00570B5D">
        <w:rPr>
          <w:lang w:val="en-GB"/>
        </w:rPr>
        <w:t xml:space="preserve"> power of</w:t>
      </w:r>
      <w:r w:rsidR="005F12AA" w:rsidRPr="00570B5D">
        <w:rPr>
          <w:lang w:val="en-GB"/>
        </w:rPr>
        <w:t xml:space="preserve"> temporary debt</w:t>
      </w:r>
      <w:r w:rsidR="00334F8F" w:rsidRPr="00570B5D">
        <w:rPr>
          <w:lang w:val="en-GB"/>
        </w:rPr>
        <w:t xml:space="preserve"> relief programmes</w:t>
      </w:r>
      <w:r w:rsidR="005F12AA" w:rsidRPr="00570B5D">
        <w:rPr>
          <w:lang w:val="en-GB"/>
        </w:rPr>
        <w:t>, especially in emerging economies.</w:t>
      </w:r>
    </w:p>
    <w:p w:rsidR="002D3E77" w:rsidRPr="00570B5D" w:rsidRDefault="002D3E77" w:rsidP="00007635">
      <w:pPr>
        <w:pStyle w:val="BodyText"/>
        <w:spacing w:beforeLines="120" w:afterLines="120" w:line="360" w:lineRule="auto"/>
        <w:ind w:left="101" w:firstLine="351"/>
        <w:jc w:val="both"/>
        <w:rPr>
          <w:lang w:val="en-GB"/>
        </w:rPr>
      </w:pPr>
      <w:r w:rsidRPr="00570B5D">
        <w:rPr>
          <w:noProof/>
          <w:lang w:val="en-GB"/>
        </w:rPr>
        <w:drawing>
          <wp:inline distT="0" distB="0" distL="0" distR="0">
            <wp:extent cx="5943600" cy="2754821"/>
            <wp:effectExtent l="0" t="0" r="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8F" w:rsidRPr="00570B5D" w:rsidRDefault="00771656" w:rsidP="00007635">
      <w:pPr>
        <w:pStyle w:val="BodyText"/>
        <w:spacing w:beforeLines="120" w:afterLines="120" w:line="360" w:lineRule="auto"/>
        <w:ind w:left="101" w:firstLine="351"/>
        <w:jc w:val="both"/>
        <w:rPr>
          <w:lang w:val="en-GB"/>
        </w:rPr>
      </w:pPr>
      <w:r w:rsidRPr="00570B5D">
        <w:rPr>
          <w:i/>
          <w:iCs/>
          <w:lang w:val="en-GB"/>
        </w:rPr>
        <w:t>Source: Authors’ calculations</w:t>
      </w:r>
      <w:r w:rsidR="00DF1D4A" w:rsidRPr="00570B5D">
        <w:rPr>
          <w:lang w:val="en-GB"/>
        </w:rPr>
        <w:t>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jc w:val="both"/>
        <w:rPr>
          <w:lang w:val="en-GB"/>
        </w:rPr>
      </w:pPr>
      <w:r w:rsidRPr="00570B5D">
        <w:rPr>
          <w:lang w:val="en-GB"/>
        </w:rPr>
        <w:t xml:space="preserve">Instead, if households were to liquidate their </w:t>
      </w:r>
      <w:r w:rsidR="00771656" w:rsidRPr="00570B5D">
        <w:rPr>
          <w:iCs/>
          <w:lang w:val="en-GB"/>
        </w:rPr>
        <w:t>illiquid</w:t>
      </w:r>
      <w:r w:rsidRPr="00570B5D">
        <w:rPr>
          <w:i/>
          <w:lang w:val="en-GB"/>
        </w:rPr>
        <w:t xml:space="preserve"> </w:t>
      </w:r>
      <w:r w:rsidRPr="00570B5D">
        <w:rPr>
          <w:lang w:val="en-GB"/>
        </w:rPr>
        <w:t>financial assets</w:t>
      </w:r>
      <w:r w:rsidR="0009338E" w:rsidRPr="00570B5D">
        <w:rPr>
          <w:lang w:val="en-GB"/>
        </w:rPr>
        <w:t xml:space="preserve"> fully</w:t>
      </w:r>
      <w:r w:rsidRPr="00570B5D">
        <w:rPr>
          <w:lang w:val="en-GB"/>
        </w:rPr>
        <w:t>, there is a much more substantial</w:t>
      </w:r>
      <w:r w:rsidR="00887884" w:rsidRPr="00570B5D">
        <w:rPr>
          <w:lang w:val="en-GB"/>
        </w:rPr>
        <w:t xml:space="preserve"> positive</w:t>
      </w:r>
      <w:r w:rsidRPr="00570B5D">
        <w:rPr>
          <w:lang w:val="en-GB"/>
        </w:rPr>
        <w:t xml:space="preserve"> </w:t>
      </w:r>
      <w:r w:rsidR="00887884" w:rsidRPr="00570B5D">
        <w:rPr>
          <w:lang w:val="en-GB"/>
        </w:rPr>
        <w:t>effect</w:t>
      </w:r>
      <w:r w:rsidRPr="00570B5D">
        <w:rPr>
          <w:lang w:val="en-GB"/>
        </w:rPr>
        <w:t xml:space="preserve"> on resilience. </w:t>
      </w:r>
      <w:r w:rsidR="00ED1FF5" w:rsidRPr="00570B5D">
        <w:rPr>
          <w:lang w:val="en-GB"/>
        </w:rPr>
        <w:t xml:space="preserve">But </w:t>
      </w:r>
      <w:r w:rsidRPr="00570B5D">
        <w:rPr>
          <w:lang w:val="en-GB"/>
        </w:rPr>
        <w:t xml:space="preserve">roughly 40% of developed market households continue to be vulnerable </w:t>
      </w:r>
      <w:r w:rsidR="00887884" w:rsidRPr="00570B5D">
        <w:rPr>
          <w:lang w:val="en-GB"/>
        </w:rPr>
        <w:t>six</w:t>
      </w:r>
      <w:r w:rsidRPr="00570B5D">
        <w:rPr>
          <w:lang w:val="en-GB"/>
        </w:rPr>
        <w:t xml:space="preserve"> months after the initial shock.</w:t>
      </w:r>
      <w:r w:rsidR="00334F8F" w:rsidRPr="00570B5D">
        <w:rPr>
          <w:lang w:val="en-GB"/>
        </w:rPr>
        <w:t xml:space="preserve"> In contrast</w:t>
      </w:r>
      <w:r w:rsidR="00887884" w:rsidRPr="00570B5D">
        <w:rPr>
          <w:lang w:val="en-GB"/>
        </w:rPr>
        <w:t>, i</w:t>
      </w:r>
      <w:r w:rsidRPr="00570B5D">
        <w:rPr>
          <w:lang w:val="en-GB"/>
        </w:rPr>
        <w:t xml:space="preserve">n emerging markets, illiquid financial assets shift the curve down, but only marginally, reflecting relatively low levels of savings in the form of retirement </w:t>
      </w:r>
      <w:r w:rsidR="00887884" w:rsidRPr="00570B5D">
        <w:rPr>
          <w:lang w:val="en-GB"/>
        </w:rPr>
        <w:t xml:space="preserve">savings or pensions held </w:t>
      </w:r>
      <w:r w:rsidRPr="00570B5D">
        <w:rPr>
          <w:lang w:val="en-GB"/>
        </w:rPr>
        <w:t>by most households in such economies.</w:t>
      </w:r>
    </w:p>
    <w:p w:rsidR="005D3C4C" w:rsidRPr="00570B5D" w:rsidRDefault="005F12AA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  <w:r w:rsidRPr="00570B5D">
        <w:rPr>
          <w:lang w:val="en-GB"/>
        </w:rPr>
        <w:t xml:space="preserve">These </w:t>
      </w:r>
      <w:r w:rsidR="00AC5B2F" w:rsidRPr="00570B5D">
        <w:rPr>
          <w:lang w:val="en-GB"/>
        </w:rPr>
        <w:t>alternative coping strategies</w:t>
      </w:r>
      <w:r w:rsidRPr="00570B5D">
        <w:rPr>
          <w:lang w:val="en-GB"/>
        </w:rPr>
        <w:t xml:space="preserve"> highlight the important role of wealth inequality in amplifying vulnerability</w:t>
      </w:r>
      <w:r w:rsidR="000124F2">
        <w:rPr>
          <w:lang w:val="en-GB"/>
        </w:rPr>
        <w:t>,</w:t>
      </w:r>
      <w:r w:rsidRPr="00570B5D">
        <w:rPr>
          <w:lang w:val="en-GB"/>
        </w:rPr>
        <w:t xml:space="preserve"> and demonstrate the ineffectiveness of particular policy options during crises such as the pandemic. </w:t>
      </w:r>
      <w:bookmarkStart w:id="0" w:name="_Hlk74127980"/>
      <w:r w:rsidRPr="00570B5D">
        <w:rPr>
          <w:lang w:val="en-GB"/>
        </w:rPr>
        <w:t xml:space="preserve">For </w:t>
      </w:r>
      <w:r w:rsidR="005D5BE2" w:rsidRPr="00570B5D">
        <w:rPr>
          <w:lang w:val="en-GB"/>
        </w:rPr>
        <w:t>example</w:t>
      </w:r>
      <w:r w:rsidRPr="00570B5D">
        <w:rPr>
          <w:lang w:val="en-GB"/>
        </w:rPr>
        <w:t>, debt relief as a policy tool is likely to be ineffective as those it benefits are already resilient</w:t>
      </w:r>
      <w:r w:rsidR="00334F8F" w:rsidRPr="00570B5D">
        <w:rPr>
          <w:lang w:val="en-GB"/>
        </w:rPr>
        <w:t xml:space="preserve"> to an income shock</w:t>
      </w:r>
      <w:r w:rsidRPr="00570B5D">
        <w:rPr>
          <w:lang w:val="en-GB"/>
        </w:rPr>
        <w:t>, and those who would benefit most from accessing illiquid savings</w:t>
      </w:r>
      <w:r w:rsidR="00887884" w:rsidRPr="00570B5D">
        <w:rPr>
          <w:lang w:val="en-GB"/>
        </w:rPr>
        <w:t xml:space="preserve"> </w:t>
      </w:r>
      <w:r w:rsidR="0050104D" w:rsidRPr="00570B5D">
        <w:rPr>
          <w:lang w:val="en-GB"/>
        </w:rPr>
        <w:t xml:space="preserve">during </w:t>
      </w:r>
      <w:r w:rsidR="00887884" w:rsidRPr="00570B5D">
        <w:rPr>
          <w:lang w:val="en-GB"/>
        </w:rPr>
        <w:t>difficult circumstances</w:t>
      </w:r>
      <w:r w:rsidRPr="00570B5D">
        <w:rPr>
          <w:lang w:val="en-GB"/>
        </w:rPr>
        <w:t xml:space="preserve"> have not </w:t>
      </w:r>
      <w:r w:rsidR="0050104D" w:rsidRPr="00570B5D">
        <w:rPr>
          <w:lang w:val="en-GB"/>
        </w:rPr>
        <w:t xml:space="preserve">been able to </w:t>
      </w:r>
      <w:r w:rsidRPr="00570B5D">
        <w:rPr>
          <w:lang w:val="en-GB"/>
        </w:rPr>
        <w:t xml:space="preserve">accumulate </w:t>
      </w:r>
      <w:r w:rsidR="0050104D" w:rsidRPr="00570B5D">
        <w:rPr>
          <w:lang w:val="en-GB"/>
        </w:rPr>
        <w:t xml:space="preserve">such </w:t>
      </w:r>
      <w:r w:rsidRPr="00570B5D">
        <w:rPr>
          <w:lang w:val="en-GB"/>
        </w:rPr>
        <w:t>assets</w:t>
      </w:r>
      <w:r w:rsidR="0050104D" w:rsidRPr="00570B5D">
        <w:rPr>
          <w:lang w:val="en-GB"/>
        </w:rPr>
        <w:t>,</w:t>
      </w:r>
      <w:r w:rsidRPr="00570B5D">
        <w:rPr>
          <w:lang w:val="en-GB"/>
        </w:rPr>
        <w:t xml:space="preserve"> given their relatively low disposable income in good times</w:t>
      </w:r>
      <w:bookmarkEnd w:id="0"/>
      <w:r w:rsidRPr="00570B5D">
        <w:rPr>
          <w:lang w:val="en-GB"/>
        </w:rPr>
        <w:t>.</w:t>
      </w:r>
    </w:p>
    <w:p w:rsidR="005D3C4C" w:rsidRPr="00570B5D" w:rsidRDefault="00334F8F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  <w:r w:rsidRPr="00570B5D">
        <w:rPr>
          <w:lang w:val="en-GB"/>
        </w:rPr>
        <w:t>I</w:t>
      </w:r>
      <w:r w:rsidR="005F12AA" w:rsidRPr="00570B5D">
        <w:rPr>
          <w:lang w:val="en-GB"/>
        </w:rPr>
        <w:t>n both emerging and developed markets, a policy instrument that dramatically changes the shape of the vulnerability curve is income support. A 50% income support policy brings the total fraction o</w:t>
      </w:r>
      <w:r w:rsidR="004E59D9" w:rsidRPr="00570B5D">
        <w:rPr>
          <w:lang w:val="en-GB"/>
        </w:rPr>
        <w:t xml:space="preserve">f vulnerable households to near </w:t>
      </w:r>
      <w:r w:rsidR="005F12AA" w:rsidRPr="00570B5D">
        <w:rPr>
          <w:lang w:val="en-GB"/>
        </w:rPr>
        <w:t xml:space="preserve">zero for the first six months following the shock in both sets of economies. </w:t>
      </w:r>
    </w:p>
    <w:p w:rsidR="005D3C4C" w:rsidRPr="00570B5D" w:rsidRDefault="00EB08C0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  <w:r w:rsidRPr="00570B5D">
        <w:rPr>
          <w:lang w:val="en-GB"/>
        </w:rPr>
        <w:t xml:space="preserve">But </w:t>
      </w:r>
      <w:r w:rsidR="005F12AA" w:rsidRPr="00570B5D">
        <w:rPr>
          <w:lang w:val="en-GB"/>
        </w:rPr>
        <w:t>such policies are enormously expensive to implement and pose</w:t>
      </w:r>
      <w:r w:rsidRPr="00570B5D">
        <w:rPr>
          <w:lang w:val="en-GB"/>
        </w:rPr>
        <w:t xml:space="preserve"> major</w:t>
      </w:r>
      <w:r w:rsidR="005F12AA" w:rsidRPr="00570B5D">
        <w:rPr>
          <w:lang w:val="en-GB"/>
        </w:rPr>
        <w:t xml:space="preserve"> administrative challenges </w:t>
      </w:r>
      <w:r w:rsidR="0009338E" w:rsidRPr="00570B5D">
        <w:rPr>
          <w:lang w:val="en-GB"/>
        </w:rPr>
        <w:t xml:space="preserve">for </w:t>
      </w:r>
      <w:r w:rsidR="005F12AA" w:rsidRPr="00570B5D">
        <w:rPr>
          <w:lang w:val="en-GB"/>
        </w:rPr>
        <w:t>governments. This is especially true in emerging markets where fiscal imprudence is unsustainable</w:t>
      </w:r>
      <w:r w:rsidR="00C1502D" w:rsidRPr="00570B5D">
        <w:rPr>
          <w:lang w:val="en-GB"/>
        </w:rPr>
        <w:t>.</w:t>
      </w:r>
      <w:r w:rsidR="00F90E06" w:rsidRPr="00570B5D">
        <w:rPr>
          <w:lang w:val="en-GB"/>
        </w:rPr>
        <w:t xml:space="preserve"> </w:t>
      </w:r>
      <w:r w:rsidR="00C1502D" w:rsidRPr="00570B5D">
        <w:rPr>
          <w:lang w:val="en-GB"/>
        </w:rPr>
        <w:t>Finally, e</w:t>
      </w:r>
      <w:r w:rsidR="005F12AA" w:rsidRPr="00570B5D">
        <w:rPr>
          <w:lang w:val="en-GB"/>
        </w:rPr>
        <w:t xml:space="preserve">fficiently implementing direct transfers is often infeasible for sheer lack of information about the population and </w:t>
      </w:r>
      <w:r w:rsidRPr="00570B5D">
        <w:rPr>
          <w:lang w:val="en-GB"/>
        </w:rPr>
        <w:t xml:space="preserve">limited </w:t>
      </w:r>
      <w:r w:rsidR="005F12AA" w:rsidRPr="00570B5D">
        <w:rPr>
          <w:lang w:val="en-GB"/>
        </w:rPr>
        <w:t xml:space="preserve">infrastructure to administer payments. </w:t>
      </w:r>
    </w:p>
    <w:p w:rsidR="005D3C4C" w:rsidRPr="00570B5D" w:rsidRDefault="00771656" w:rsidP="00007635">
      <w:pPr>
        <w:pStyle w:val="BodyText"/>
        <w:spacing w:beforeLines="120" w:afterLines="120" w:line="360" w:lineRule="auto"/>
        <w:ind w:right="103"/>
        <w:jc w:val="both"/>
        <w:rPr>
          <w:lang w:val="en-GB"/>
        </w:rPr>
      </w:pPr>
      <w:r w:rsidRPr="00570B5D">
        <w:rPr>
          <w:b/>
          <w:bCs/>
          <w:lang w:val="en-GB"/>
        </w:rPr>
        <w:t>Conclusion</w:t>
      </w:r>
      <w:r w:rsidR="00C1502D" w:rsidRPr="00570B5D">
        <w:rPr>
          <w:b/>
          <w:bCs/>
          <w:lang w:val="en-GB"/>
        </w:rPr>
        <w:t>s</w:t>
      </w:r>
    </w:p>
    <w:p w:rsidR="005D3C4C" w:rsidRPr="00570B5D" w:rsidRDefault="00F51D9B" w:rsidP="00007635">
      <w:pPr>
        <w:pStyle w:val="BodyText"/>
        <w:spacing w:beforeLines="120" w:afterLines="120" w:line="360" w:lineRule="auto"/>
        <w:ind w:right="103"/>
        <w:jc w:val="both"/>
        <w:rPr>
          <w:lang w:val="en-GB"/>
        </w:rPr>
      </w:pPr>
      <w:r w:rsidRPr="00570B5D">
        <w:rPr>
          <w:lang w:val="en-GB"/>
        </w:rPr>
        <w:t>Faced with enormous income uncertainty in the spring and summer of 2020, households around the world were faced with two main options if the worst materiali</w:t>
      </w:r>
      <w:r w:rsidR="00B723D5" w:rsidRPr="00570B5D">
        <w:rPr>
          <w:lang w:val="en-GB"/>
        </w:rPr>
        <w:t>s</w:t>
      </w:r>
      <w:r w:rsidRPr="00570B5D">
        <w:rPr>
          <w:lang w:val="en-GB"/>
        </w:rPr>
        <w:t xml:space="preserve">ed: either </w:t>
      </w:r>
      <w:r w:rsidR="001B58E5" w:rsidRPr="00570B5D">
        <w:rPr>
          <w:lang w:val="en-GB"/>
        </w:rPr>
        <w:t xml:space="preserve">to </w:t>
      </w:r>
      <w:r w:rsidRPr="00570B5D">
        <w:rPr>
          <w:lang w:val="en-GB"/>
        </w:rPr>
        <w:t xml:space="preserve">cut consumption </w:t>
      </w:r>
      <w:r w:rsidR="00C1502D" w:rsidRPr="00570B5D">
        <w:rPr>
          <w:lang w:val="en-GB"/>
        </w:rPr>
        <w:t xml:space="preserve">deeply </w:t>
      </w:r>
      <w:r w:rsidRPr="00570B5D">
        <w:rPr>
          <w:lang w:val="en-GB"/>
        </w:rPr>
        <w:t>an</w:t>
      </w:r>
      <w:r w:rsidR="001B58E5" w:rsidRPr="00570B5D">
        <w:rPr>
          <w:lang w:val="en-GB"/>
        </w:rPr>
        <w:t>d defer non-essential purchases;</w:t>
      </w:r>
      <w:r w:rsidRPr="00570B5D">
        <w:rPr>
          <w:lang w:val="en-GB"/>
        </w:rPr>
        <w:t xml:space="preserve"> or to draw down accumulated savings. </w:t>
      </w:r>
    </w:p>
    <w:p w:rsidR="005D3C4C" w:rsidRPr="00570B5D" w:rsidRDefault="00F51D9B" w:rsidP="00007635">
      <w:pPr>
        <w:pStyle w:val="BodyText"/>
        <w:spacing w:beforeLines="120" w:afterLines="120" w:line="360" w:lineRule="auto"/>
        <w:ind w:right="103"/>
        <w:jc w:val="both"/>
        <w:rPr>
          <w:lang w:val="en-GB"/>
        </w:rPr>
      </w:pPr>
      <w:r w:rsidRPr="00570B5D">
        <w:rPr>
          <w:lang w:val="en-GB"/>
        </w:rPr>
        <w:t xml:space="preserve">Unfortunately, for a large part of the world’s population, the second option is just not viable. </w:t>
      </w:r>
      <w:r w:rsidR="00C1502D" w:rsidRPr="00570B5D">
        <w:rPr>
          <w:lang w:val="en-GB"/>
        </w:rPr>
        <w:t>F</w:t>
      </w:r>
      <w:r w:rsidRPr="00570B5D">
        <w:rPr>
          <w:lang w:val="en-GB"/>
        </w:rPr>
        <w:t xml:space="preserve">inancing an income shortfall for a period of </w:t>
      </w:r>
      <w:r w:rsidR="00B723D5" w:rsidRPr="00570B5D">
        <w:rPr>
          <w:lang w:val="en-GB"/>
        </w:rPr>
        <w:t>three</w:t>
      </w:r>
      <w:r w:rsidR="005D3C4C" w:rsidRPr="00570B5D">
        <w:rPr>
          <w:lang w:val="en-GB"/>
        </w:rPr>
        <w:t xml:space="preserve"> months – </w:t>
      </w:r>
      <w:r w:rsidRPr="00570B5D">
        <w:rPr>
          <w:lang w:val="en-GB"/>
        </w:rPr>
        <w:t xml:space="preserve">not an unusual circumstance for self-employed entrepreneurs and </w:t>
      </w:r>
      <w:r w:rsidR="005D3C4C" w:rsidRPr="00570B5D">
        <w:rPr>
          <w:lang w:val="en-GB"/>
        </w:rPr>
        <w:t xml:space="preserve">wage earners in many industries – </w:t>
      </w:r>
      <w:r w:rsidRPr="00570B5D">
        <w:rPr>
          <w:lang w:val="en-GB"/>
        </w:rPr>
        <w:t xml:space="preserve">results in complete depletion of liquid financial assets for </w:t>
      </w:r>
      <w:r w:rsidR="00D34599" w:rsidRPr="00570B5D">
        <w:rPr>
          <w:lang w:val="en-GB"/>
        </w:rPr>
        <w:t xml:space="preserve">roughly </w:t>
      </w:r>
      <w:r w:rsidRPr="00570B5D">
        <w:rPr>
          <w:lang w:val="en-GB"/>
        </w:rPr>
        <w:t xml:space="preserve">every third household in the </w:t>
      </w:r>
      <w:r w:rsidR="00E91985" w:rsidRPr="00570B5D">
        <w:rPr>
          <w:lang w:val="en-GB"/>
        </w:rPr>
        <w:t>sample of countries that we have analy</w:t>
      </w:r>
      <w:r w:rsidR="007661D7" w:rsidRPr="00570B5D">
        <w:rPr>
          <w:lang w:val="en-GB"/>
        </w:rPr>
        <w:t>s</w:t>
      </w:r>
      <w:r w:rsidR="00E91985" w:rsidRPr="00570B5D">
        <w:rPr>
          <w:lang w:val="en-GB"/>
        </w:rPr>
        <w:t>ed</w:t>
      </w:r>
      <w:r w:rsidRPr="00570B5D">
        <w:rPr>
          <w:lang w:val="en-GB"/>
        </w:rPr>
        <w:t xml:space="preserve">. </w:t>
      </w:r>
    </w:p>
    <w:p w:rsidR="005D3C4C" w:rsidRPr="00570B5D" w:rsidRDefault="00F51D9B" w:rsidP="00007635">
      <w:pPr>
        <w:pStyle w:val="BodyText"/>
        <w:spacing w:beforeLines="120" w:afterLines="120" w:line="360" w:lineRule="auto"/>
        <w:ind w:right="103"/>
        <w:jc w:val="both"/>
        <w:rPr>
          <w:lang w:val="en-GB"/>
        </w:rPr>
      </w:pPr>
      <w:r w:rsidRPr="00570B5D">
        <w:rPr>
          <w:lang w:val="en-GB"/>
        </w:rPr>
        <w:t>In the absence of substantial government support, over a longer horizon of a year, income shortfalls given these low levels of observed financial resilience can push two-thirds of households into significant hardship.</w:t>
      </w:r>
      <w:r w:rsidR="00C1502D" w:rsidRPr="00570B5D">
        <w:rPr>
          <w:lang w:val="en-GB"/>
        </w:rPr>
        <w:t xml:space="preserve"> </w:t>
      </w:r>
      <w:r w:rsidRPr="00570B5D">
        <w:rPr>
          <w:lang w:val="en-GB"/>
        </w:rPr>
        <w:t>This generates enormous reliance on government support</w:t>
      </w:r>
      <w:r w:rsidR="00F90BB8" w:rsidRPr="00570B5D">
        <w:rPr>
          <w:lang w:val="en-GB"/>
        </w:rPr>
        <w:t>, b</w:t>
      </w:r>
      <w:r w:rsidRPr="00570B5D">
        <w:rPr>
          <w:lang w:val="en-GB"/>
        </w:rPr>
        <w:t>ut most emerging markets possess little wiggle room to provide support at such a massive scale</w:t>
      </w:r>
      <w:r w:rsidR="00A1619C">
        <w:rPr>
          <w:lang w:val="en-GB"/>
        </w:rPr>
        <w:t xml:space="preserve">. What’s more, </w:t>
      </w:r>
      <w:r w:rsidRPr="00570B5D">
        <w:rPr>
          <w:lang w:val="en-GB"/>
        </w:rPr>
        <w:t xml:space="preserve">when shocks are </w:t>
      </w:r>
      <w:r w:rsidR="000530D4" w:rsidRPr="00570B5D">
        <w:rPr>
          <w:lang w:val="en-GB"/>
        </w:rPr>
        <w:t>long lasting</w:t>
      </w:r>
      <w:r w:rsidR="00C1502D" w:rsidRPr="00570B5D">
        <w:rPr>
          <w:lang w:val="en-GB"/>
        </w:rPr>
        <w:t>,</w:t>
      </w:r>
      <w:r w:rsidRPr="00570B5D">
        <w:rPr>
          <w:lang w:val="en-GB"/>
        </w:rPr>
        <w:t xml:space="preserve"> neither advanced </w:t>
      </w:r>
      <w:r w:rsidR="00C1502D" w:rsidRPr="00570B5D">
        <w:rPr>
          <w:lang w:val="en-GB"/>
        </w:rPr>
        <w:t>n</w:t>
      </w:r>
      <w:r w:rsidRPr="00570B5D">
        <w:rPr>
          <w:lang w:val="en-GB"/>
        </w:rPr>
        <w:t>or emerging economies can sustain</w:t>
      </w:r>
      <w:r w:rsidR="005C6832" w:rsidRPr="00570B5D">
        <w:rPr>
          <w:lang w:val="en-GB"/>
        </w:rPr>
        <w:t xml:space="preserve"> such</w:t>
      </w:r>
      <w:r w:rsidRPr="00570B5D">
        <w:rPr>
          <w:lang w:val="en-GB"/>
        </w:rPr>
        <w:t xml:space="preserve"> interventions</w:t>
      </w:r>
      <w:r w:rsidR="00272AB3" w:rsidRPr="00570B5D">
        <w:rPr>
          <w:lang w:val="en-GB"/>
        </w:rPr>
        <w:t xml:space="preserve"> </w:t>
      </w:r>
      <w:r w:rsidR="003278D5" w:rsidRPr="00570B5D">
        <w:rPr>
          <w:lang w:val="en-GB"/>
        </w:rPr>
        <w:t>for prolonged periods of time</w:t>
      </w:r>
      <w:r w:rsidR="00C1502D" w:rsidRPr="00570B5D">
        <w:rPr>
          <w:lang w:val="en-GB"/>
        </w:rPr>
        <w:t>.</w:t>
      </w:r>
    </w:p>
    <w:p w:rsidR="005D3C4C" w:rsidRPr="00570B5D" w:rsidRDefault="005D3C4C" w:rsidP="00007635">
      <w:pPr>
        <w:pStyle w:val="BodyText"/>
        <w:spacing w:beforeLines="120" w:afterLines="120" w:line="360" w:lineRule="auto"/>
        <w:ind w:right="100"/>
        <w:jc w:val="both"/>
        <w:rPr>
          <w:lang w:val="en-GB"/>
        </w:rPr>
      </w:pPr>
    </w:p>
    <w:p w:rsidR="00C1502D" w:rsidRPr="00570B5D" w:rsidRDefault="00C1502D" w:rsidP="00745751">
      <w:pPr>
        <w:rPr>
          <w:lang w:val="en-GB"/>
        </w:rPr>
      </w:pPr>
    </w:p>
    <w:p w:rsidR="00C1502D" w:rsidRPr="00570B5D" w:rsidRDefault="00C1502D" w:rsidP="00745751">
      <w:pPr>
        <w:rPr>
          <w:lang w:val="en-GB"/>
        </w:rPr>
      </w:pPr>
    </w:p>
    <w:p w:rsidR="00C1502D" w:rsidRPr="00570B5D" w:rsidRDefault="00C1502D" w:rsidP="00745751">
      <w:pPr>
        <w:rPr>
          <w:lang w:val="en-GB"/>
        </w:rPr>
      </w:pPr>
    </w:p>
    <w:p w:rsidR="00C1502D" w:rsidRPr="00570B5D" w:rsidRDefault="00C1502D" w:rsidP="00745751">
      <w:pPr>
        <w:rPr>
          <w:lang w:val="en-GB"/>
        </w:rPr>
      </w:pPr>
    </w:p>
    <w:p w:rsidR="00C1502D" w:rsidRPr="00570B5D" w:rsidRDefault="00C1502D" w:rsidP="00745751">
      <w:pPr>
        <w:rPr>
          <w:lang w:val="en-GB"/>
        </w:rPr>
      </w:pPr>
    </w:p>
    <w:p w:rsidR="00C1502D" w:rsidRPr="00570B5D" w:rsidRDefault="00C1502D" w:rsidP="00745751">
      <w:pPr>
        <w:rPr>
          <w:lang w:val="en-GB"/>
        </w:rPr>
      </w:pPr>
    </w:p>
    <w:p w:rsidR="00C1502D" w:rsidRPr="00570B5D" w:rsidRDefault="00C1502D" w:rsidP="00745751">
      <w:pPr>
        <w:rPr>
          <w:lang w:val="en-GB"/>
        </w:rPr>
      </w:pPr>
    </w:p>
    <w:p w:rsidR="00745751" w:rsidRPr="00570B5D" w:rsidRDefault="00771656" w:rsidP="00745751">
      <w:pPr>
        <w:rPr>
          <w:b/>
          <w:bCs/>
          <w:lang w:val="en-GB"/>
        </w:rPr>
      </w:pPr>
      <w:r w:rsidRPr="00570B5D">
        <w:rPr>
          <w:b/>
          <w:bCs/>
          <w:lang w:val="en-GB"/>
        </w:rPr>
        <w:t xml:space="preserve">Where can I find out more? </w:t>
      </w:r>
    </w:p>
    <w:p w:rsidR="006B7166" w:rsidRPr="00570B5D" w:rsidRDefault="006B7166" w:rsidP="00745751">
      <w:pPr>
        <w:rPr>
          <w:lang w:val="en-GB"/>
        </w:rPr>
      </w:pPr>
    </w:p>
    <w:p w:rsidR="006B1A78" w:rsidRPr="00570B5D" w:rsidRDefault="00007635" w:rsidP="00745751">
      <w:pPr>
        <w:rPr>
          <w:lang w:val="en-GB"/>
        </w:rPr>
      </w:pPr>
      <w:hyperlink r:id="rId20" w:history="1">
        <w:r w:rsidR="006B1A78" w:rsidRPr="00570B5D">
          <w:rPr>
            <w:rStyle w:val="Hyperlink"/>
            <w:lang w:val="en-GB"/>
          </w:rPr>
          <w:t>Cushioning the poor from the COVID-19 shock</w:t>
        </w:r>
        <w:r w:rsidR="00D32DCE" w:rsidRPr="00570B5D">
          <w:rPr>
            <w:rStyle w:val="Hyperlink"/>
            <w:lang w:val="en-GB"/>
          </w:rPr>
          <w:t>:</w:t>
        </w:r>
        <w:r w:rsidR="006B1A78" w:rsidRPr="00570B5D">
          <w:rPr>
            <w:rStyle w:val="Hyperlink"/>
            <w:lang w:val="en-GB"/>
          </w:rPr>
          <w:t xml:space="preserve"> The Abdul Latif Jameel Poverty Action Lab</w:t>
        </w:r>
      </w:hyperlink>
      <w:r w:rsidR="00643F20">
        <w:rPr>
          <w:lang w:val="en-GB"/>
        </w:rPr>
        <w:t>.</w:t>
      </w:r>
    </w:p>
    <w:p w:rsidR="006B1A78" w:rsidRPr="00570B5D" w:rsidRDefault="006B1A78" w:rsidP="00745751">
      <w:pPr>
        <w:rPr>
          <w:lang w:val="en-GB"/>
        </w:rPr>
      </w:pPr>
    </w:p>
    <w:p w:rsidR="001C5DDD" w:rsidRPr="00570B5D" w:rsidRDefault="00007635" w:rsidP="00745751">
      <w:pPr>
        <w:rPr>
          <w:lang w:val="en-GB"/>
        </w:rPr>
      </w:pPr>
      <w:hyperlink r:id="rId21" w:history="1">
        <w:r w:rsidR="001C5DDD" w:rsidRPr="00570B5D">
          <w:rPr>
            <w:rStyle w:val="Hyperlink"/>
            <w:lang w:val="en-GB"/>
          </w:rPr>
          <w:t>The Economic Impacts of COVID-19: Evidence from a New Public Database Built Using Private Sector Data</w:t>
        </w:r>
        <w:r w:rsidR="00D32DCE" w:rsidRPr="00570B5D">
          <w:rPr>
            <w:rStyle w:val="Hyperlink"/>
            <w:lang w:val="en-GB"/>
          </w:rPr>
          <w:t>:</w:t>
        </w:r>
        <w:r w:rsidR="001C5DDD" w:rsidRPr="00570B5D">
          <w:rPr>
            <w:rStyle w:val="Hyperlink"/>
            <w:lang w:val="en-GB"/>
          </w:rPr>
          <w:t xml:space="preserve"> Opportunity Insights</w:t>
        </w:r>
      </w:hyperlink>
      <w:r w:rsidR="00643F20">
        <w:rPr>
          <w:lang w:val="en-GB"/>
        </w:rPr>
        <w:t>.</w:t>
      </w:r>
    </w:p>
    <w:p w:rsidR="001C5DDD" w:rsidRPr="00570B5D" w:rsidRDefault="001C5DDD" w:rsidP="00745751">
      <w:pPr>
        <w:rPr>
          <w:lang w:val="en-GB"/>
        </w:rPr>
      </w:pPr>
    </w:p>
    <w:p w:rsidR="00F364C0" w:rsidRPr="00570B5D" w:rsidRDefault="00007635" w:rsidP="00745751">
      <w:pPr>
        <w:rPr>
          <w:lang w:val="en-GB"/>
        </w:rPr>
      </w:pPr>
      <w:hyperlink r:id="rId22" w:history="1">
        <w:r w:rsidR="00F364C0" w:rsidRPr="00570B5D">
          <w:rPr>
            <w:rStyle w:val="Hyperlink"/>
            <w:lang w:val="en-GB"/>
          </w:rPr>
          <w:t>COVID-19 Government Response Tracker</w:t>
        </w:r>
        <w:r w:rsidR="00D32DCE" w:rsidRPr="00570B5D">
          <w:rPr>
            <w:rStyle w:val="Hyperlink"/>
            <w:lang w:val="en-GB"/>
          </w:rPr>
          <w:t>:</w:t>
        </w:r>
        <w:r w:rsidR="00F364C0" w:rsidRPr="00570B5D">
          <w:rPr>
            <w:rStyle w:val="Hyperlink"/>
            <w:lang w:val="en-GB"/>
          </w:rPr>
          <w:t xml:space="preserve"> Bla</w:t>
        </w:r>
        <w:r w:rsidR="00DA7DFC">
          <w:rPr>
            <w:rStyle w:val="Hyperlink"/>
            <w:lang w:val="en-GB"/>
          </w:rPr>
          <w:t>vatnik School of Go</w:t>
        </w:r>
        <w:r w:rsidR="00643F20">
          <w:rPr>
            <w:rStyle w:val="Hyperlink"/>
            <w:lang w:val="en-GB"/>
          </w:rPr>
          <w:t>vernment</w:t>
        </w:r>
      </w:hyperlink>
      <w:r w:rsidR="00DA7DFC">
        <w:rPr>
          <w:lang w:val="en-GB"/>
        </w:rPr>
        <w:t>.</w:t>
      </w:r>
    </w:p>
    <w:p w:rsidR="006E5109" w:rsidRPr="00570B5D" w:rsidRDefault="006E5109" w:rsidP="00745751">
      <w:pPr>
        <w:rPr>
          <w:lang w:val="en-GB"/>
        </w:rPr>
      </w:pPr>
    </w:p>
    <w:p w:rsidR="00F364C0" w:rsidRPr="00570B5D" w:rsidRDefault="00007635" w:rsidP="00745751">
      <w:pPr>
        <w:rPr>
          <w:lang w:val="en-GB"/>
        </w:rPr>
      </w:pPr>
      <w:hyperlink r:id="rId23" w:history="1">
        <w:r w:rsidR="006E5109" w:rsidRPr="00570B5D">
          <w:rPr>
            <w:rStyle w:val="Hyperlink"/>
            <w:lang w:val="en-GB"/>
          </w:rPr>
          <w:t>Policy Responses to COVID19</w:t>
        </w:r>
        <w:r w:rsidR="00D32DCE" w:rsidRPr="00570B5D">
          <w:rPr>
            <w:rStyle w:val="Hyperlink"/>
            <w:lang w:val="en-GB"/>
          </w:rPr>
          <w:t>:</w:t>
        </w:r>
        <w:r w:rsidR="006E5109" w:rsidRPr="00570B5D">
          <w:rPr>
            <w:rStyle w:val="Hyperlink"/>
            <w:lang w:val="en-GB"/>
          </w:rPr>
          <w:t xml:space="preserve"> International Moneta</w:t>
        </w:r>
        <w:r w:rsidR="00DF2A09" w:rsidRPr="00570B5D">
          <w:rPr>
            <w:rStyle w:val="Hyperlink"/>
            <w:lang w:val="en-GB"/>
          </w:rPr>
          <w:t>ry Fund</w:t>
        </w:r>
      </w:hyperlink>
      <w:r w:rsidR="00DA7DFC">
        <w:rPr>
          <w:lang w:val="en-GB"/>
        </w:rPr>
        <w:t>.</w:t>
      </w:r>
    </w:p>
    <w:p w:rsidR="00DF2A09" w:rsidRPr="00570B5D" w:rsidRDefault="00DF2A09" w:rsidP="00745751">
      <w:pPr>
        <w:rPr>
          <w:lang w:val="en-GB"/>
        </w:rPr>
      </w:pPr>
    </w:p>
    <w:p w:rsidR="00535F9E" w:rsidRPr="00570B5D" w:rsidRDefault="00007635" w:rsidP="00745751">
      <w:pPr>
        <w:rPr>
          <w:lang w:val="en-GB"/>
        </w:rPr>
      </w:pPr>
      <w:hyperlink r:id="rId24" w:history="1">
        <w:r w:rsidR="000530D4" w:rsidRPr="00570B5D">
          <w:rPr>
            <w:rStyle w:val="Hyperlink"/>
            <w:lang w:val="en-GB"/>
          </w:rPr>
          <w:t>Heterogeneous</w:t>
        </w:r>
        <w:r w:rsidR="00535F9E" w:rsidRPr="00570B5D">
          <w:rPr>
            <w:rStyle w:val="Hyperlink"/>
            <w:lang w:val="en-GB"/>
          </w:rPr>
          <w:t xml:space="preserve"> effects of Covid-19 on households' financial situation and consumption</w:t>
        </w:r>
        <w:r w:rsidR="00D32DCE" w:rsidRPr="00570B5D">
          <w:rPr>
            <w:rStyle w:val="Hyperlink"/>
            <w:lang w:val="en-GB"/>
          </w:rPr>
          <w:t>:</w:t>
        </w:r>
        <w:r w:rsidR="00535F9E" w:rsidRPr="00570B5D">
          <w:rPr>
            <w:rStyle w:val="Hyperlink"/>
            <w:lang w:val="en-GB"/>
          </w:rPr>
          <w:t xml:space="preserve"> VOX, CEPR Polic</w:t>
        </w:r>
        <w:r w:rsidR="00DA7DFC">
          <w:rPr>
            <w:rStyle w:val="Hyperlink"/>
            <w:lang w:val="en-GB"/>
          </w:rPr>
          <w:t>y Portal</w:t>
        </w:r>
      </w:hyperlink>
      <w:r w:rsidR="00DA7DFC">
        <w:rPr>
          <w:lang w:val="en-GB"/>
        </w:rPr>
        <w:t>.</w:t>
      </w:r>
    </w:p>
    <w:p w:rsidR="00535F9E" w:rsidRPr="00570B5D" w:rsidRDefault="00535F9E" w:rsidP="00745751">
      <w:pPr>
        <w:rPr>
          <w:lang w:val="en-GB"/>
        </w:rPr>
      </w:pPr>
    </w:p>
    <w:p w:rsidR="003C28C8" w:rsidRPr="00570B5D" w:rsidRDefault="00007635" w:rsidP="003C28C8">
      <w:pPr>
        <w:rPr>
          <w:lang w:val="en-GB"/>
        </w:rPr>
      </w:pPr>
      <w:hyperlink r:id="rId25" w:history="1">
        <w:r w:rsidR="003C28C8" w:rsidRPr="00570B5D">
          <w:rPr>
            <w:rStyle w:val="Hyperlink"/>
            <w:lang w:val="en-GB"/>
          </w:rPr>
          <w:t>Inequality: the I</w:t>
        </w:r>
        <w:r w:rsidR="00DA7DFC">
          <w:rPr>
            <w:rStyle w:val="Hyperlink"/>
            <w:lang w:val="en-GB"/>
          </w:rPr>
          <w:t xml:space="preserve">nstitute for </w:t>
        </w:r>
        <w:r w:rsidR="003C28C8" w:rsidRPr="00570B5D">
          <w:rPr>
            <w:rStyle w:val="Hyperlink"/>
            <w:lang w:val="en-GB"/>
          </w:rPr>
          <w:t>F</w:t>
        </w:r>
        <w:r w:rsidR="00DA7DFC">
          <w:rPr>
            <w:rStyle w:val="Hyperlink"/>
            <w:lang w:val="en-GB"/>
          </w:rPr>
          <w:t xml:space="preserve">iscal </w:t>
        </w:r>
        <w:r w:rsidR="003C28C8" w:rsidRPr="00570B5D">
          <w:rPr>
            <w:rStyle w:val="Hyperlink"/>
            <w:lang w:val="en-GB"/>
          </w:rPr>
          <w:t>S</w:t>
        </w:r>
        <w:r w:rsidR="00DA7DFC">
          <w:rPr>
            <w:rStyle w:val="Hyperlink"/>
            <w:lang w:val="en-GB"/>
          </w:rPr>
          <w:t>tudies</w:t>
        </w:r>
        <w:r w:rsidR="003C28C8" w:rsidRPr="00570B5D">
          <w:rPr>
            <w:rStyle w:val="Hyperlink"/>
            <w:lang w:val="en-GB"/>
          </w:rPr>
          <w:t xml:space="preserve"> Deaton Review</w:t>
        </w:r>
      </w:hyperlink>
      <w:r w:rsidR="00DA7DFC">
        <w:rPr>
          <w:lang w:val="en-GB"/>
        </w:rPr>
        <w:t>.</w:t>
      </w:r>
    </w:p>
    <w:p w:rsidR="003C28C8" w:rsidRPr="00570B5D" w:rsidRDefault="003C28C8" w:rsidP="00745751">
      <w:pPr>
        <w:rPr>
          <w:lang w:val="en-GB"/>
        </w:rPr>
      </w:pPr>
    </w:p>
    <w:p w:rsidR="00F364C0" w:rsidRPr="00570B5D" w:rsidRDefault="00007635" w:rsidP="00745751">
      <w:pPr>
        <w:rPr>
          <w:lang w:val="en-GB"/>
        </w:rPr>
      </w:pPr>
      <w:hyperlink r:id="rId26" w:history="1">
        <w:r w:rsidR="00B902A4" w:rsidRPr="00570B5D">
          <w:rPr>
            <w:rStyle w:val="Hyperlink"/>
            <w:lang w:val="en-GB"/>
          </w:rPr>
          <w:t>COVID-19 Household Survey</w:t>
        </w:r>
        <w:r w:rsidR="00D32DCE" w:rsidRPr="00570B5D">
          <w:rPr>
            <w:rStyle w:val="Hyperlink"/>
            <w:lang w:val="en-GB"/>
          </w:rPr>
          <w:t>:</w:t>
        </w:r>
        <w:r w:rsidR="00B902A4" w:rsidRPr="00570B5D">
          <w:rPr>
            <w:rStyle w:val="Hyperlink"/>
            <w:lang w:val="en-GB"/>
          </w:rPr>
          <w:t xml:space="preserve"> UChicago Urban Labs</w:t>
        </w:r>
      </w:hyperlink>
      <w:r w:rsidR="00DA7DFC">
        <w:rPr>
          <w:lang w:val="en-GB"/>
        </w:rPr>
        <w:t>.</w:t>
      </w:r>
    </w:p>
    <w:p w:rsidR="00DA7DFC" w:rsidRDefault="00DA7DFC" w:rsidP="00745751">
      <w:pPr>
        <w:rPr>
          <w:lang w:val="en-GB"/>
        </w:rPr>
      </w:pPr>
    </w:p>
    <w:p w:rsidR="00B902A4" w:rsidRPr="00570B5D" w:rsidRDefault="00B902A4" w:rsidP="00745751">
      <w:pPr>
        <w:rPr>
          <w:lang w:val="en-GB"/>
        </w:rPr>
      </w:pPr>
    </w:p>
    <w:p w:rsidR="00333F6C" w:rsidRPr="00570B5D" w:rsidRDefault="00745751" w:rsidP="00745751">
      <w:pPr>
        <w:rPr>
          <w:b/>
          <w:lang w:val="en-GB"/>
        </w:rPr>
      </w:pPr>
      <w:r w:rsidRPr="00570B5D">
        <w:rPr>
          <w:b/>
          <w:lang w:val="en-GB"/>
        </w:rPr>
        <w:t>Who are experts on this question?</w:t>
      </w:r>
    </w:p>
    <w:p w:rsidR="003224C8" w:rsidRPr="00570B5D" w:rsidRDefault="003224C8" w:rsidP="00745751">
      <w:pPr>
        <w:rPr>
          <w:lang w:val="en-GB"/>
        </w:rPr>
      </w:pPr>
    </w:p>
    <w:p w:rsidR="00406134" w:rsidRPr="00570B5D" w:rsidRDefault="00406134" w:rsidP="00745751">
      <w:pPr>
        <w:rPr>
          <w:lang w:val="en-GB"/>
        </w:rPr>
      </w:pPr>
      <w:r w:rsidRPr="00570B5D">
        <w:rPr>
          <w:lang w:val="en-GB"/>
        </w:rPr>
        <w:t>Cristian Badarinza (National University of Singapore)</w:t>
      </w:r>
    </w:p>
    <w:p w:rsidR="00406134" w:rsidRPr="00570B5D" w:rsidRDefault="00406134" w:rsidP="00745751">
      <w:pPr>
        <w:rPr>
          <w:lang w:val="en-GB"/>
        </w:rPr>
      </w:pPr>
      <w:r w:rsidRPr="00570B5D">
        <w:rPr>
          <w:lang w:val="en-GB"/>
        </w:rPr>
        <w:t>Vimal Balasubramaniam (Queen Mary University</w:t>
      </w:r>
      <w:r w:rsidR="00ED18E7" w:rsidRPr="00570B5D">
        <w:rPr>
          <w:lang w:val="en-GB"/>
        </w:rPr>
        <w:t xml:space="preserve"> of London</w:t>
      </w:r>
      <w:r w:rsidRPr="00570B5D">
        <w:rPr>
          <w:lang w:val="en-GB"/>
        </w:rPr>
        <w:t>)</w:t>
      </w:r>
    </w:p>
    <w:p w:rsidR="00406134" w:rsidRPr="00570B5D" w:rsidRDefault="00406134" w:rsidP="00406134">
      <w:pPr>
        <w:rPr>
          <w:lang w:val="en-GB"/>
        </w:rPr>
      </w:pPr>
      <w:r w:rsidRPr="00570B5D">
        <w:rPr>
          <w:lang w:val="en-GB"/>
        </w:rPr>
        <w:t>Louiza Bartzoka (Imperial College London)</w:t>
      </w:r>
    </w:p>
    <w:p w:rsidR="00B902A4" w:rsidRPr="00570B5D" w:rsidRDefault="00B902A4" w:rsidP="00745751">
      <w:pPr>
        <w:rPr>
          <w:lang w:val="en-GB"/>
        </w:rPr>
      </w:pPr>
      <w:r w:rsidRPr="00570B5D">
        <w:rPr>
          <w:lang w:val="en-GB"/>
        </w:rPr>
        <w:t>Marianne Bertrand (University of Chicago)</w:t>
      </w:r>
    </w:p>
    <w:p w:rsidR="00406134" w:rsidRPr="00570B5D" w:rsidRDefault="00406134" w:rsidP="00406134">
      <w:pPr>
        <w:rPr>
          <w:lang w:val="en-GB"/>
        </w:rPr>
      </w:pPr>
      <w:r w:rsidRPr="00570B5D">
        <w:rPr>
          <w:lang w:val="en-GB"/>
        </w:rPr>
        <w:t>Richard Blundell (University College London)</w:t>
      </w:r>
    </w:p>
    <w:p w:rsidR="00CD594A" w:rsidRPr="00570B5D" w:rsidRDefault="00CD594A" w:rsidP="00CD594A">
      <w:pPr>
        <w:rPr>
          <w:lang w:val="en-GB"/>
        </w:rPr>
      </w:pPr>
      <w:r w:rsidRPr="00570B5D">
        <w:rPr>
          <w:lang w:val="en-GB"/>
        </w:rPr>
        <w:t>Karen Dynan (Harvard University)</w:t>
      </w:r>
    </w:p>
    <w:p w:rsidR="00A26ACF" w:rsidRPr="00570B5D" w:rsidRDefault="00234C65" w:rsidP="00666A08">
      <w:pPr>
        <w:rPr>
          <w:lang w:val="en-GB"/>
        </w:rPr>
      </w:pPr>
      <w:r w:rsidRPr="00570B5D">
        <w:rPr>
          <w:lang w:val="en-GB"/>
        </w:rPr>
        <w:t>R</w:t>
      </w:r>
      <w:r w:rsidR="00A26ACF" w:rsidRPr="00570B5D">
        <w:rPr>
          <w:lang w:val="en-GB"/>
        </w:rPr>
        <w:t>ema Hanna (Harvard University)</w:t>
      </w:r>
    </w:p>
    <w:p w:rsidR="00535F9E" w:rsidRPr="00570B5D" w:rsidRDefault="00535F9E" w:rsidP="00745751">
      <w:pPr>
        <w:rPr>
          <w:lang w:val="en-GB"/>
        </w:rPr>
      </w:pPr>
      <w:r w:rsidRPr="00570B5D">
        <w:rPr>
          <w:lang w:val="en-GB"/>
        </w:rPr>
        <w:t>Jonathan Parker (MIT)</w:t>
      </w:r>
    </w:p>
    <w:p w:rsidR="00406134" w:rsidRPr="00570B5D" w:rsidRDefault="00406134" w:rsidP="00406134">
      <w:pPr>
        <w:rPr>
          <w:lang w:val="en-GB"/>
        </w:rPr>
      </w:pPr>
      <w:r w:rsidRPr="00570B5D">
        <w:rPr>
          <w:lang w:val="en-GB"/>
        </w:rPr>
        <w:t>Tarun Ramadorai (Imperial College London)</w:t>
      </w:r>
    </w:p>
    <w:p w:rsidR="009F356E" w:rsidRPr="00570B5D" w:rsidRDefault="009F356E" w:rsidP="00406134">
      <w:pPr>
        <w:rPr>
          <w:lang w:val="en-GB"/>
        </w:rPr>
      </w:pPr>
      <w:r w:rsidRPr="00570B5D">
        <w:rPr>
          <w:lang w:val="en-GB"/>
        </w:rPr>
        <w:t>Silvana Tenreyro (LSE and Bank of England)</w:t>
      </w:r>
    </w:p>
    <w:p w:rsidR="005D3C4C" w:rsidRPr="00570B5D" w:rsidRDefault="005D3C4C" w:rsidP="00905E5C">
      <w:pPr>
        <w:spacing w:before="288" w:after="288"/>
        <w:rPr>
          <w:lang w:val="en-GB"/>
        </w:rPr>
      </w:pPr>
    </w:p>
    <w:p w:rsidR="006B7166" w:rsidRPr="00570B5D" w:rsidRDefault="006B7166" w:rsidP="00007635">
      <w:pPr>
        <w:spacing w:beforeLines="120" w:afterLines="120" w:line="360" w:lineRule="auto"/>
        <w:jc w:val="both"/>
        <w:rPr>
          <w:lang w:val="en-GB"/>
        </w:rPr>
      </w:pPr>
    </w:p>
    <w:p w:rsidR="005D3C4C" w:rsidRPr="00570B5D" w:rsidRDefault="00771656" w:rsidP="00007635">
      <w:pPr>
        <w:pStyle w:val="BodyText"/>
        <w:spacing w:beforeLines="120" w:afterLines="120" w:line="360" w:lineRule="auto"/>
        <w:ind w:left="101" w:right="100"/>
        <w:rPr>
          <w:lang w:val="en-GB"/>
        </w:rPr>
      </w:pPr>
      <w:r w:rsidRPr="00570B5D">
        <w:rPr>
          <w:b/>
          <w:bCs/>
          <w:lang w:val="en-GB"/>
        </w:rPr>
        <w:t>Authors:</w:t>
      </w:r>
      <w:r w:rsidR="006B7166" w:rsidRPr="00570B5D">
        <w:rPr>
          <w:lang w:val="en-GB"/>
        </w:rPr>
        <w:t xml:space="preserve"> Cristian Badarinza, Vimal Balasubramaniam, Louiza Bartzoka, and Tarun Ramadorai</w:t>
      </w:r>
    </w:p>
    <w:p w:rsidR="006B7166" w:rsidRPr="00570B5D" w:rsidRDefault="006B7166" w:rsidP="00007635">
      <w:pPr>
        <w:spacing w:beforeLines="120" w:afterLines="120" w:line="360" w:lineRule="auto"/>
        <w:jc w:val="both"/>
        <w:rPr>
          <w:lang w:val="en-GB"/>
        </w:rPr>
      </w:pPr>
      <w:r w:rsidRPr="00570B5D">
        <w:rPr>
          <w:lang w:val="en-GB"/>
        </w:rPr>
        <w:t xml:space="preserve">Topics: </w:t>
      </w:r>
    </w:p>
    <w:p w:rsidR="006B7166" w:rsidRPr="00570B5D" w:rsidRDefault="006B7166" w:rsidP="00007635">
      <w:pPr>
        <w:spacing w:beforeLines="120" w:afterLines="120" w:line="360" w:lineRule="auto"/>
        <w:jc w:val="both"/>
        <w:rPr>
          <w:lang w:val="en-GB"/>
        </w:rPr>
      </w:pPr>
      <w:r w:rsidRPr="00570B5D">
        <w:rPr>
          <w:lang w:val="en-GB"/>
        </w:rPr>
        <w:t>Households</w:t>
      </w:r>
    </w:p>
    <w:p w:rsidR="006B7166" w:rsidRPr="00570B5D" w:rsidRDefault="006B7166" w:rsidP="00007635">
      <w:pPr>
        <w:spacing w:beforeLines="120" w:afterLines="120" w:line="360" w:lineRule="auto"/>
        <w:jc w:val="both"/>
        <w:rPr>
          <w:lang w:val="en-GB"/>
        </w:rPr>
      </w:pPr>
      <w:r w:rsidRPr="00570B5D">
        <w:rPr>
          <w:lang w:val="en-GB"/>
        </w:rPr>
        <w:t>Aid &amp; development</w:t>
      </w:r>
    </w:p>
    <w:p w:rsidR="006B7166" w:rsidRPr="00570B5D" w:rsidRDefault="006B7166" w:rsidP="00007635">
      <w:pPr>
        <w:spacing w:beforeLines="120" w:afterLines="120" w:line="360" w:lineRule="auto"/>
        <w:jc w:val="both"/>
        <w:rPr>
          <w:lang w:val="en-GB"/>
        </w:rPr>
      </w:pPr>
      <w:r w:rsidRPr="00570B5D">
        <w:rPr>
          <w:lang w:val="en-GB"/>
        </w:rPr>
        <w:t>Pensions &amp; savings</w:t>
      </w:r>
    </w:p>
    <w:p w:rsidR="006B7166" w:rsidRPr="00570B5D" w:rsidRDefault="006B7166" w:rsidP="00007635">
      <w:pPr>
        <w:spacing w:beforeLines="120" w:afterLines="120" w:line="360" w:lineRule="auto"/>
        <w:jc w:val="both"/>
        <w:rPr>
          <w:lang w:val="en-GB"/>
        </w:rPr>
      </w:pPr>
    </w:p>
    <w:p w:rsidR="006B7166" w:rsidRPr="00570B5D" w:rsidRDefault="006B7166" w:rsidP="00007635">
      <w:pPr>
        <w:spacing w:beforeLines="120" w:afterLines="120" w:line="360" w:lineRule="auto"/>
        <w:jc w:val="both"/>
        <w:rPr>
          <w:lang w:val="en-GB"/>
        </w:rPr>
      </w:pPr>
      <w:r w:rsidRPr="00570B5D">
        <w:rPr>
          <w:lang w:val="en-GB"/>
        </w:rPr>
        <w:t>Related articles:</w:t>
      </w:r>
    </w:p>
    <w:p w:rsidR="006B7166" w:rsidRPr="00570B5D" w:rsidRDefault="00007635" w:rsidP="00007635">
      <w:pPr>
        <w:spacing w:beforeLines="120" w:afterLines="120" w:line="360" w:lineRule="auto"/>
        <w:rPr>
          <w:lang w:val="en-GB"/>
        </w:rPr>
      </w:pPr>
      <w:hyperlink r:id="rId27" w:tooltip="How do lockdowns affect economic activity in developing countries?" w:history="1">
        <w:r w:rsidR="006B7166" w:rsidRPr="00570B5D">
          <w:rPr>
            <w:rStyle w:val="Hyperlink"/>
            <w:rFonts w:ascii="Spectral" w:hAnsi="Spectral"/>
            <w:shd w:val="clear" w:color="auto" w:fill="FFFFFF"/>
            <w:lang w:val="en-GB"/>
          </w:rPr>
          <w:t>How do lockdowns affect economic activity in developing countries?</w:t>
        </w:r>
      </w:hyperlink>
    </w:p>
    <w:p w:rsidR="006B7166" w:rsidRPr="00570B5D" w:rsidRDefault="00007635" w:rsidP="00007635">
      <w:pPr>
        <w:spacing w:beforeLines="120" w:afterLines="120" w:line="360" w:lineRule="auto"/>
        <w:rPr>
          <w:lang w:val="en-GB"/>
        </w:rPr>
      </w:pPr>
      <w:hyperlink r:id="rId28" w:tooltip="How is coronavirus affecting emerging markets and developing economies?" w:history="1">
        <w:r w:rsidR="006B7166" w:rsidRPr="00570B5D">
          <w:rPr>
            <w:rStyle w:val="Hyperlink"/>
            <w:rFonts w:ascii="Spectral" w:hAnsi="Spectral"/>
            <w:shd w:val="clear" w:color="auto" w:fill="FFFFFF"/>
            <w:lang w:val="en-GB"/>
          </w:rPr>
          <w:t>How is coronavirus affecting emerging markets and developing economies?</w:t>
        </w:r>
      </w:hyperlink>
    </w:p>
    <w:p w:rsidR="006B7166" w:rsidRPr="00570B5D" w:rsidRDefault="00007635" w:rsidP="00007635">
      <w:pPr>
        <w:spacing w:beforeLines="120" w:afterLines="120" w:line="360" w:lineRule="auto"/>
        <w:rPr>
          <w:lang w:val="en-GB"/>
        </w:rPr>
      </w:pPr>
      <w:hyperlink r:id="rId29" w:tooltip="What has happened to consumer spending during the Covid-19 crisis?" w:history="1">
        <w:r w:rsidR="006B7166" w:rsidRPr="00570B5D">
          <w:rPr>
            <w:rStyle w:val="Hyperlink"/>
            <w:rFonts w:ascii="Spectral" w:hAnsi="Spectral"/>
            <w:shd w:val="clear" w:color="auto" w:fill="FFFFFF"/>
            <w:lang w:val="en-GB"/>
          </w:rPr>
          <w:t>What has happened to consumer spending during the Covid-19 crisis?</w:t>
        </w:r>
      </w:hyperlink>
    </w:p>
    <w:p w:rsidR="006B7166" w:rsidRPr="00570B5D" w:rsidRDefault="00007635" w:rsidP="00007635">
      <w:pPr>
        <w:spacing w:beforeLines="120" w:afterLines="120" w:line="360" w:lineRule="auto"/>
        <w:rPr>
          <w:lang w:val="en-GB"/>
        </w:rPr>
      </w:pPr>
      <w:hyperlink r:id="rId30" w:tooltip="How might costly sovereign debt default in emerging economies be averted?" w:history="1">
        <w:r w:rsidR="006B7166" w:rsidRPr="00570B5D">
          <w:rPr>
            <w:rStyle w:val="Hyperlink"/>
            <w:rFonts w:ascii="Spectral" w:hAnsi="Spectral"/>
            <w:shd w:val="clear" w:color="auto" w:fill="FFFFFF"/>
            <w:lang w:val="en-GB"/>
          </w:rPr>
          <w:t>How might costly sovereign debt default in emerging economies be averted?</w:t>
        </w:r>
      </w:hyperlink>
    </w:p>
    <w:p w:rsidR="006B7166" w:rsidRPr="00570B5D" w:rsidRDefault="00007635" w:rsidP="00007635">
      <w:pPr>
        <w:spacing w:beforeLines="120" w:afterLines="120" w:line="360" w:lineRule="auto"/>
        <w:rPr>
          <w:lang w:val="en-GB"/>
        </w:rPr>
      </w:pPr>
      <w:hyperlink r:id="rId31" w:tooltip="How are firms in emerging markets reacting to the coronavirus crisis?" w:history="1">
        <w:r w:rsidR="006B7166" w:rsidRPr="00570B5D">
          <w:rPr>
            <w:rStyle w:val="Hyperlink"/>
            <w:rFonts w:ascii="Spectral" w:hAnsi="Spectral"/>
            <w:shd w:val="clear" w:color="auto" w:fill="FFFFFF"/>
            <w:lang w:val="en-GB"/>
          </w:rPr>
          <w:t>How are firms in emerging markets reacting to the coronavirus crisis?</w:t>
        </w:r>
      </w:hyperlink>
    </w:p>
    <w:p w:rsidR="006B7166" w:rsidRPr="00570B5D" w:rsidRDefault="00007635" w:rsidP="00007635">
      <w:pPr>
        <w:spacing w:beforeLines="120" w:afterLines="120" w:line="360" w:lineRule="auto"/>
        <w:rPr>
          <w:lang w:val="en-GB"/>
        </w:rPr>
        <w:sectPr w:rsidR="006B7166" w:rsidRPr="00570B5D">
          <w:footerReference w:type="default" r:id="rId32"/>
          <w:type w:val="continuous"/>
          <w:pgSz w:w="12240" w:h="15840"/>
          <w:pgMar w:top="1440" w:right="1440" w:bottom="1440" w:left="1440" w:gutter="0"/>
          <w:docGrid w:linePitch="299"/>
        </w:sectPr>
      </w:pPr>
      <w:hyperlink r:id="rId33" w:tooltip="How should the government support households with unpayable debts?" w:history="1">
        <w:r w:rsidR="006B7166" w:rsidRPr="00570B5D">
          <w:rPr>
            <w:rStyle w:val="Hyperlink"/>
            <w:rFonts w:ascii="Spectral" w:hAnsi="Spectral"/>
            <w:shd w:val="clear" w:color="auto" w:fill="FFFFFF"/>
            <w:lang w:val="en-GB"/>
          </w:rPr>
          <w:t>How should the government support households with unpayable debts?</w:t>
        </w:r>
      </w:hyperlink>
    </w:p>
    <w:p w:rsidR="005D3C4C" w:rsidRPr="00570B5D" w:rsidRDefault="005D3C4C" w:rsidP="00007635">
      <w:pPr>
        <w:pStyle w:val="BodyText"/>
        <w:spacing w:beforeLines="120" w:afterLines="120" w:line="360" w:lineRule="auto"/>
        <w:ind w:right="85"/>
        <w:rPr>
          <w:lang w:val="en-GB"/>
        </w:rPr>
      </w:pPr>
      <w:bookmarkStart w:id="1" w:name="_bookmark6"/>
      <w:bookmarkStart w:id="2" w:name="_bookmark7"/>
      <w:bookmarkStart w:id="3" w:name="_bookmark8"/>
      <w:bookmarkStart w:id="4" w:name="_bookmark9"/>
      <w:bookmarkStart w:id="5" w:name="_bookmark10"/>
      <w:bookmarkStart w:id="6" w:name="_bookmark11"/>
      <w:bookmarkStart w:id="7" w:name="_bookmark12"/>
      <w:bookmarkStart w:id="8" w:name="_bookmark13"/>
      <w:bookmarkStart w:id="9" w:name="_bookmark14"/>
      <w:bookmarkStart w:id="10" w:name="_bookmark15"/>
      <w:bookmarkStart w:id="11" w:name="_bookmark16"/>
      <w:bookmarkStart w:id="12" w:name="_bookmark1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ectPr w:rsidR="005D3C4C" w:rsidRPr="00570B5D" w:rsidSect="00DB0CCB">
      <w:pgSz w:w="12240" w:h="15840"/>
      <w:pgMar w:top="1160" w:right="1200" w:bottom="880" w:left="1480" w:header="0" w:footer="685" w:gutter="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AB322D" w15:done="0"/>
  <w15:commentEx w15:paraId="217BDD7B" w15:paraIdParent="44AB322D" w15:done="0"/>
  <w15:commentEx w15:paraId="76B0C21C" w15:done="0"/>
  <w15:commentEx w15:paraId="516B7693" w15:paraIdParent="76B0C21C" w15:done="0"/>
  <w15:commentEx w15:paraId="76139D3C" w15:done="0"/>
  <w15:commentEx w15:paraId="4C9F79EC" w15:paraIdParent="76139D3C" w15:done="0"/>
  <w15:commentEx w15:paraId="2832757E" w15:done="0"/>
  <w15:commentEx w15:paraId="75C53B42" w15:done="0"/>
  <w15:commentEx w15:paraId="7EEC65CF" w15:done="0"/>
  <w15:commentEx w15:paraId="100AAD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AB322D" w16cid:durableId="247C5ADA"/>
  <w16cid:commentId w16cid:paraId="217BDD7B" w16cid:durableId="247DADF0"/>
  <w16cid:commentId w16cid:paraId="76B0C21C" w16cid:durableId="247C5ADB"/>
  <w16cid:commentId w16cid:paraId="516B7693" w16cid:durableId="247DAD9B"/>
  <w16cid:commentId w16cid:paraId="76139D3C" w16cid:durableId="247C5ADC"/>
  <w16cid:commentId w16cid:paraId="4C9F79EC" w16cid:durableId="247DB1E8"/>
  <w16cid:commentId w16cid:paraId="2832757E" w16cid:durableId="247DB479"/>
  <w16cid:commentId w16cid:paraId="75C53B42" w16cid:durableId="247DB381"/>
  <w16cid:commentId w16cid:paraId="7EEC65CF" w16cid:durableId="247DB69C"/>
  <w16cid:commentId w16cid:paraId="100AAD8C" w16cid:durableId="247DBDFB"/>
</w16cid:commentsId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D4D" w:rsidRDefault="00C80D4D">
      <w:r>
        <w:separator/>
      </w:r>
    </w:p>
  </w:endnote>
  <w:endnote w:type="continuationSeparator" w:id="0">
    <w:p w:rsidR="00C80D4D" w:rsidRDefault="00C80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pectral">
    <w:altName w:val="Cambria"/>
    <w:charset w:val="00"/>
    <w:family w:val="roman"/>
    <w:pitch w:val="variable"/>
    <w:sig w:usb0="E000027F" w:usb1="4000E43B" w:usb2="00000000" w:usb3="00000000" w:csb0="00000197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4D" w:rsidRDefault="00C80D4D">
    <w:pPr>
      <w:pStyle w:val="BodyText"/>
      <w:spacing w:line="14" w:lineRule="auto"/>
      <w:rPr>
        <w:sz w:val="20"/>
      </w:rPr>
    </w:pPr>
    <w:r w:rsidRPr="00007635"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1" o:spid="_x0000_s4096" type="#_x0000_t202" style="position:absolute;margin-left:304.1pt;margin-top:746.75pt;width:17.7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" filled="f" stroked="f">
          <v:textbox inset="0,0,0,0">
            <w:txbxContent>
              <w:p w:rsidR="00C80D4D" w:rsidRDefault="00C80D4D">
                <w:pPr>
                  <w:pStyle w:val="BodyText"/>
                  <w:spacing w:line="251" w:lineRule="exact"/>
                  <w:ind w:left="60"/>
                </w:pPr>
                <w:fldSimple w:instr=" PAGE ">
                  <w:r w:rsidR="00A1619C">
                    <w:rPr>
                      <w:noProof/>
                    </w:rPr>
                    <w:t>11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D4D" w:rsidRDefault="00C80D4D">
      <w:r>
        <w:separator/>
      </w:r>
    </w:p>
  </w:footnote>
  <w:footnote w:type="continuationSeparator" w:id="0">
    <w:p w:rsidR="00C80D4D" w:rsidRDefault="00C80D4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istian Badarinza">
    <w15:presenceInfo w15:providerId="AD" w15:userId="S-1-5-21-482311787-1869618626-615583016-385741"/>
  </w15:person>
  <w15:person w15:author="Charlie Meyrick">
    <w15:presenceInfo w15:providerId="Windows Live" w15:userId="4dc0d1c6d9e0130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6C6AA4"/>
    <w:rsid w:val="00004EC5"/>
    <w:rsid w:val="00006612"/>
    <w:rsid w:val="00007635"/>
    <w:rsid w:val="000124F2"/>
    <w:rsid w:val="0002571C"/>
    <w:rsid w:val="00030D19"/>
    <w:rsid w:val="00037EE7"/>
    <w:rsid w:val="000429A0"/>
    <w:rsid w:val="00050BD6"/>
    <w:rsid w:val="000530D4"/>
    <w:rsid w:val="00055C37"/>
    <w:rsid w:val="0007239B"/>
    <w:rsid w:val="00075431"/>
    <w:rsid w:val="0009338E"/>
    <w:rsid w:val="00093D06"/>
    <w:rsid w:val="000967D0"/>
    <w:rsid w:val="000A20F0"/>
    <w:rsid w:val="000A5F6D"/>
    <w:rsid w:val="000B2788"/>
    <w:rsid w:val="000B3496"/>
    <w:rsid w:val="000D4D0C"/>
    <w:rsid w:val="000E1392"/>
    <w:rsid w:val="000E3058"/>
    <w:rsid w:val="000E4066"/>
    <w:rsid w:val="000F0188"/>
    <w:rsid w:val="000F1DC7"/>
    <w:rsid w:val="001044D9"/>
    <w:rsid w:val="00106ADF"/>
    <w:rsid w:val="00110390"/>
    <w:rsid w:val="00123612"/>
    <w:rsid w:val="00130581"/>
    <w:rsid w:val="001603EB"/>
    <w:rsid w:val="00183EBF"/>
    <w:rsid w:val="00185192"/>
    <w:rsid w:val="001858D7"/>
    <w:rsid w:val="00194215"/>
    <w:rsid w:val="001B58E5"/>
    <w:rsid w:val="001C5DDD"/>
    <w:rsid w:val="001D3EC3"/>
    <w:rsid w:val="001D5E7D"/>
    <w:rsid w:val="001E6FB7"/>
    <w:rsid w:val="001F4C26"/>
    <w:rsid w:val="001F6FDC"/>
    <w:rsid w:val="002150E2"/>
    <w:rsid w:val="0022404A"/>
    <w:rsid w:val="00224B6E"/>
    <w:rsid w:val="002264F4"/>
    <w:rsid w:val="00234C65"/>
    <w:rsid w:val="0023595A"/>
    <w:rsid w:val="00236708"/>
    <w:rsid w:val="00247FDD"/>
    <w:rsid w:val="002501D2"/>
    <w:rsid w:val="00255121"/>
    <w:rsid w:val="00256D60"/>
    <w:rsid w:val="002578D8"/>
    <w:rsid w:val="00260C7D"/>
    <w:rsid w:val="00263474"/>
    <w:rsid w:val="002704A8"/>
    <w:rsid w:val="00272AB3"/>
    <w:rsid w:val="00294A30"/>
    <w:rsid w:val="002B07F3"/>
    <w:rsid w:val="002C0DD0"/>
    <w:rsid w:val="002C5C35"/>
    <w:rsid w:val="002C5E84"/>
    <w:rsid w:val="002C7409"/>
    <w:rsid w:val="002D3E77"/>
    <w:rsid w:val="002D4F7E"/>
    <w:rsid w:val="002D6954"/>
    <w:rsid w:val="002F33E3"/>
    <w:rsid w:val="002F50C6"/>
    <w:rsid w:val="002F580C"/>
    <w:rsid w:val="002F5D62"/>
    <w:rsid w:val="00302B25"/>
    <w:rsid w:val="00315158"/>
    <w:rsid w:val="003224C8"/>
    <w:rsid w:val="003278D5"/>
    <w:rsid w:val="00327908"/>
    <w:rsid w:val="00333F6C"/>
    <w:rsid w:val="003341A4"/>
    <w:rsid w:val="00334F8F"/>
    <w:rsid w:val="00335FA4"/>
    <w:rsid w:val="00347401"/>
    <w:rsid w:val="00347D3F"/>
    <w:rsid w:val="00365A31"/>
    <w:rsid w:val="003779D8"/>
    <w:rsid w:val="00391F3F"/>
    <w:rsid w:val="00395F92"/>
    <w:rsid w:val="003968C5"/>
    <w:rsid w:val="003A3ABC"/>
    <w:rsid w:val="003A6EA2"/>
    <w:rsid w:val="003C28C8"/>
    <w:rsid w:val="003C53BB"/>
    <w:rsid w:val="003C55F4"/>
    <w:rsid w:val="003D5B02"/>
    <w:rsid w:val="003E0B2F"/>
    <w:rsid w:val="003E38D0"/>
    <w:rsid w:val="003F3BBE"/>
    <w:rsid w:val="003F5474"/>
    <w:rsid w:val="004007D6"/>
    <w:rsid w:val="00400F79"/>
    <w:rsid w:val="00406134"/>
    <w:rsid w:val="00430DFC"/>
    <w:rsid w:val="004352E7"/>
    <w:rsid w:val="00437EAE"/>
    <w:rsid w:val="00461FE1"/>
    <w:rsid w:val="004679A7"/>
    <w:rsid w:val="00473A55"/>
    <w:rsid w:val="004763A4"/>
    <w:rsid w:val="00483CFA"/>
    <w:rsid w:val="004901BA"/>
    <w:rsid w:val="00490F8D"/>
    <w:rsid w:val="004A20DB"/>
    <w:rsid w:val="004A396C"/>
    <w:rsid w:val="004B0725"/>
    <w:rsid w:val="004C2B63"/>
    <w:rsid w:val="004C5E6E"/>
    <w:rsid w:val="004D50D3"/>
    <w:rsid w:val="004D7971"/>
    <w:rsid w:val="004E1DC4"/>
    <w:rsid w:val="004E27DB"/>
    <w:rsid w:val="004E59D9"/>
    <w:rsid w:val="004F0B3C"/>
    <w:rsid w:val="004F19CE"/>
    <w:rsid w:val="004F3949"/>
    <w:rsid w:val="0050104D"/>
    <w:rsid w:val="00505548"/>
    <w:rsid w:val="00513001"/>
    <w:rsid w:val="005218E2"/>
    <w:rsid w:val="00521B4D"/>
    <w:rsid w:val="00535F9E"/>
    <w:rsid w:val="00536943"/>
    <w:rsid w:val="00541AE6"/>
    <w:rsid w:val="00565EA2"/>
    <w:rsid w:val="00570354"/>
    <w:rsid w:val="00570B5D"/>
    <w:rsid w:val="00572482"/>
    <w:rsid w:val="00572C51"/>
    <w:rsid w:val="0057412A"/>
    <w:rsid w:val="00576D6F"/>
    <w:rsid w:val="00592654"/>
    <w:rsid w:val="005A3949"/>
    <w:rsid w:val="005B4C4E"/>
    <w:rsid w:val="005C245E"/>
    <w:rsid w:val="005C6832"/>
    <w:rsid w:val="005D3C4C"/>
    <w:rsid w:val="005D5BE2"/>
    <w:rsid w:val="005D7036"/>
    <w:rsid w:val="005D7F04"/>
    <w:rsid w:val="005F12AA"/>
    <w:rsid w:val="005F1BE7"/>
    <w:rsid w:val="005F44FC"/>
    <w:rsid w:val="00600797"/>
    <w:rsid w:val="00607C82"/>
    <w:rsid w:val="006200DB"/>
    <w:rsid w:val="00627073"/>
    <w:rsid w:val="0062760B"/>
    <w:rsid w:val="00630E28"/>
    <w:rsid w:val="006351C5"/>
    <w:rsid w:val="0063658D"/>
    <w:rsid w:val="00636A32"/>
    <w:rsid w:val="006376AD"/>
    <w:rsid w:val="00643F20"/>
    <w:rsid w:val="00644F54"/>
    <w:rsid w:val="00655146"/>
    <w:rsid w:val="00655228"/>
    <w:rsid w:val="00655544"/>
    <w:rsid w:val="00666A08"/>
    <w:rsid w:val="00681039"/>
    <w:rsid w:val="00685F76"/>
    <w:rsid w:val="00687C14"/>
    <w:rsid w:val="006920B1"/>
    <w:rsid w:val="00697F9D"/>
    <w:rsid w:val="006A2B3D"/>
    <w:rsid w:val="006A362F"/>
    <w:rsid w:val="006A3C26"/>
    <w:rsid w:val="006A6136"/>
    <w:rsid w:val="006B0BF6"/>
    <w:rsid w:val="006B1A78"/>
    <w:rsid w:val="006B7166"/>
    <w:rsid w:val="006C4832"/>
    <w:rsid w:val="006C6AA4"/>
    <w:rsid w:val="006D422C"/>
    <w:rsid w:val="006E5109"/>
    <w:rsid w:val="006E6E52"/>
    <w:rsid w:val="006E7B9D"/>
    <w:rsid w:val="006F1807"/>
    <w:rsid w:val="00702841"/>
    <w:rsid w:val="007050F0"/>
    <w:rsid w:val="00717B56"/>
    <w:rsid w:val="00722865"/>
    <w:rsid w:val="007351B0"/>
    <w:rsid w:val="00745751"/>
    <w:rsid w:val="00765322"/>
    <w:rsid w:val="007661D7"/>
    <w:rsid w:val="00767735"/>
    <w:rsid w:val="00771656"/>
    <w:rsid w:val="007732CC"/>
    <w:rsid w:val="00774240"/>
    <w:rsid w:val="0077443B"/>
    <w:rsid w:val="007765FA"/>
    <w:rsid w:val="00777877"/>
    <w:rsid w:val="00784BC6"/>
    <w:rsid w:val="00791256"/>
    <w:rsid w:val="007929EC"/>
    <w:rsid w:val="00795B0D"/>
    <w:rsid w:val="00797B43"/>
    <w:rsid w:val="007A1DBB"/>
    <w:rsid w:val="007A7D7A"/>
    <w:rsid w:val="007A7F94"/>
    <w:rsid w:val="007B05BB"/>
    <w:rsid w:val="007B0ADB"/>
    <w:rsid w:val="007B48E9"/>
    <w:rsid w:val="007C108D"/>
    <w:rsid w:val="007C2CDB"/>
    <w:rsid w:val="007D66AC"/>
    <w:rsid w:val="007D7083"/>
    <w:rsid w:val="007E0690"/>
    <w:rsid w:val="007F72B3"/>
    <w:rsid w:val="00805C2B"/>
    <w:rsid w:val="00817AEC"/>
    <w:rsid w:val="0082778F"/>
    <w:rsid w:val="0084214D"/>
    <w:rsid w:val="00842490"/>
    <w:rsid w:val="00843BF8"/>
    <w:rsid w:val="00851F3F"/>
    <w:rsid w:val="0086492E"/>
    <w:rsid w:val="00872B90"/>
    <w:rsid w:val="008745FA"/>
    <w:rsid w:val="00876F57"/>
    <w:rsid w:val="00885809"/>
    <w:rsid w:val="008860FF"/>
    <w:rsid w:val="008875B6"/>
    <w:rsid w:val="00887884"/>
    <w:rsid w:val="008A080F"/>
    <w:rsid w:val="008C1D86"/>
    <w:rsid w:val="008C2997"/>
    <w:rsid w:val="008C38FB"/>
    <w:rsid w:val="008E3F9B"/>
    <w:rsid w:val="00905E5C"/>
    <w:rsid w:val="00915A58"/>
    <w:rsid w:val="00916DD9"/>
    <w:rsid w:val="009176D0"/>
    <w:rsid w:val="0092134F"/>
    <w:rsid w:val="00964270"/>
    <w:rsid w:val="00964DBE"/>
    <w:rsid w:val="00974E85"/>
    <w:rsid w:val="0099101F"/>
    <w:rsid w:val="009A2AE8"/>
    <w:rsid w:val="009A2EF9"/>
    <w:rsid w:val="009B1DE4"/>
    <w:rsid w:val="009B3454"/>
    <w:rsid w:val="009B3726"/>
    <w:rsid w:val="009B3D06"/>
    <w:rsid w:val="009B6111"/>
    <w:rsid w:val="009B6FF1"/>
    <w:rsid w:val="009C0373"/>
    <w:rsid w:val="009C2B71"/>
    <w:rsid w:val="009E22A8"/>
    <w:rsid w:val="009F356E"/>
    <w:rsid w:val="00A1057A"/>
    <w:rsid w:val="00A1619C"/>
    <w:rsid w:val="00A239C1"/>
    <w:rsid w:val="00A2419D"/>
    <w:rsid w:val="00A26ACF"/>
    <w:rsid w:val="00A26F43"/>
    <w:rsid w:val="00A36D59"/>
    <w:rsid w:val="00A42E78"/>
    <w:rsid w:val="00A43DCA"/>
    <w:rsid w:val="00A47595"/>
    <w:rsid w:val="00A66788"/>
    <w:rsid w:val="00A76483"/>
    <w:rsid w:val="00A857AF"/>
    <w:rsid w:val="00A90370"/>
    <w:rsid w:val="00AA13B6"/>
    <w:rsid w:val="00AA2A82"/>
    <w:rsid w:val="00AA4EDD"/>
    <w:rsid w:val="00AB4352"/>
    <w:rsid w:val="00AB4B43"/>
    <w:rsid w:val="00AC5B2F"/>
    <w:rsid w:val="00AD46C5"/>
    <w:rsid w:val="00AD5400"/>
    <w:rsid w:val="00AD748B"/>
    <w:rsid w:val="00AE2F8C"/>
    <w:rsid w:val="00AF3327"/>
    <w:rsid w:val="00AF49AA"/>
    <w:rsid w:val="00B0169D"/>
    <w:rsid w:val="00B01DEF"/>
    <w:rsid w:val="00B074A3"/>
    <w:rsid w:val="00B1059D"/>
    <w:rsid w:val="00B14498"/>
    <w:rsid w:val="00B23C65"/>
    <w:rsid w:val="00B34902"/>
    <w:rsid w:val="00B34FC4"/>
    <w:rsid w:val="00B448A1"/>
    <w:rsid w:val="00B47957"/>
    <w:rsid w:val="00B5394B"/>
    <w:rsid w:val="00B54AAD"/>
    <w:rsid w:val="00B63BFA"/>
    <w:rsid w:val="00B66430"/>
    <w:rsid w:val="00B723D5"/>
    <w:rsid w:val="00B902A4"/>
    <w:rsid w:val="00B91FF9"/>
    <w:rsid w:val="00BB4063"/>
    <w:rsid w:val="00BB7A67"/>
    <w:rsid w:val="00BC54CF"/>
    <w:rsid w:val="00BC7A4F"/>
    <w:rsid w:val="00BD4667"/>
    <w:rsid w:val="00BD4BB3"/>
    <w:rsid w:val="00BD69E6"/>
    <w:rsid w:val="00BE0136"/>
    <w:rsid w:val="00BF22EE"/>
    <w:rsid w:val="00C00DB6"/>
    <w:rsid w:val="00C1502D"/>
    <w:rsid w:val="00C279C6"/>
    <w:rsid w:val="00C27AC8"/>
    <w:rsid w:val="00C27E5D"/>
    <w:rsid w:val="00C356E2"/>
    <w:rsid w:val="00C36707"/>
    <w:rsid w:val="00C564CB"/>
    <w:rsid w:val="00C6734E"/>
    <w:rsid w:val="00C67E8C"/>
    <w:rsid w:val="00C80D4D"/>
    <w:rsid w:val="00C8145B"/>
    <w:rsid w:val="00C96AB6"/>
    <w:rsid w:val="00CA0C1B"/>
    <w:rsid w:val="00CA7053"/>
    <w:rsid w:val="00CA764E"/>
    <w:rsid w:val="00CB0700"/>
    <w:rsid w:val="00CB2101"/>
    <w:rsid w:val="00CD05EF"/>
    <w:rsid w:val="00CD594A"/>
    <w:rsid w:val="00CD7072"/>
    <w:rsid w:val="00CE2B2C"/>
    <w:rsid w:val="00CF38F0"/>
    <w:rsid w:val="00D00518"/>
    <w:rsid w:val="00D1143F"/>
    <w:rsid w:val="00D138E7"/>
    <w:rsid w:val="00D177A2"/>
    <w:rsid w:val="00D201CD"/>
    <w:rsid w:val="00D21904"/>
    <w:rsid w:val="00D2454C"/>
    <w:rsid w:val="00D2615E"/>
    <w:rsid w:val="00D319F9"/>
    <w:rsid w:val="00D32DCE"/>
    <w:rsid w:val="00D34599"/>
    <w:rsid w:val="00D34C65"/>
    <w:rsid w:val="00D41B1A"/>
    <w:rsid w:val="00D43528"/>
    <w:rsid w:val="00D47990"/>
    <w:rsid w:val="00D607DB"/>
    <w:rsid w:val="00D62704"/>
    <w:rsid w:val="00D802C1"/>
    <w:rsid w:val="00D862D7"/>
    <w:rsid w:val="00D87C67"/>
    <w:rsid w:val="00D976AD"/>
    <w:rsid w:val="00DA706D"/>
    <w:rsid w:val="00DA7DFC"/>
    <w:rsid w:val="00DB0CCB"/>
    <w:rsid w:val="00DB48A5"/>
    <w:rsid w:val="00DC0035"/>
    <w:rsid w:val="00DD08B6"/>
    <w:rsid w:val="00DD0DFF"/>
    <w:rsid w:val="00DD297A"/>
    <w:rsid w:val="00DD6854"/>
    <w:rsid w:val="00DE3BE1"/>
    <w:rsid w:val="00DE56CA"/>
    <w:rsid w:val="00DF1D4A"/>
    <w:rsid w:val="00DF2A09"/>
    <w:rsid w:val="00E01D49"/>
    <w:rsid w:val="00E026C6"/>
    <w:rsid w:val="00E06575"/>
    <w:rsid w:val="00E13011"/>
    <w:rsid w:val="00E21367"/>
    <w:rsid w:val="00E32DFD"/>
    <w:rsid w:val="00E35650"/>
    <w:rsid w:val="00E41D47"/>
    <w:rsid w:val="00E510B7"/>
    <w:rsid w:val="00E51E65"/>
    <w:rsid w:val="00E62B19"/>
    <w:rsid w:val="00E91985"/>
    <w:rsid w:val="00EA53D6"/>
    <w:rsid w:val="00EA6A3E"/>
    <w:rsid w:val="00EB08C0"/>
    <w:rsid w:val="00EB34F7"/>
    <w:rsid w:val="00EB4013"/>
    <w:rsid w:val="00EB5FD8"/>
    <w:rsid w:val="00EB6F99"/>
    <w:rsid w:val="00ED18E7"/>
    <w:rsid w:val="00ED1FF5"/>
    <w:rsid w:val="00ED53EC"/>
    <w:rsid w:val="00ED5798"/>
    <w:rsid w:val="00ED5A5C"/>
    <w:rsid w:val="00ED740E"/>
    <w:rsid w:val="00EE798C"/>
    <w:rsid w:val="00F008FE"/>
    <w:rsid w:val="00F02047"/>
    <w:rsid w:val="00F02F63"/>
    <w:rsid w:val="00F0345C"/>
    <w:rsid w:val="00F144BB"/>
    <w:rsid w:val="00F16383"/>
    <w:rsid w:val="00F23014"/>
    <w:rsid w:val="00F230A0"/>
    <w:rsid w:val="00F23487"/>
    <w:rsid w:val="00F362C3"/>
    <w:rsid w:val="00F364C0"/>
    <w:rsid w:val="00F37DCF"/>
    <w:rsid w:val="00F43686"/>
    <w:rsid w:val="00F515E7"/>
    <w:rsid w:val="00F51D9B"/>
    <w:rsid w:val="00F53E0B"/>
    <w:rsid w:val="00F672F0"/>
    <w:rsid w:val="00F67B78"/>
    <w:rsid w:val="00F70568"/>
    <w:rsid w:val="00F73CB4"/>
    <w:rsid w:val="00F8417B"/>
    <w:rsid w:val="00F86A55"/>
    <w:rsid w:val="00F90BB8"/>
    <w:rsid w:val="00F90E06"/>
    <w:rsid w:val="00FA2AED"/>
    <w:rsid w:val="00FB204B"/>
    <w:rsid w:val="00FC3396"/>
    <w:rsid w:val="00FC4868"/>
    <w:rsid w:val="00FD4965"/>
    <w:rsid w:val="00FD713D"/>
    <w:rsid w:val="00FF1D24"/>
  </w:rsids>
  <m:mathPr>
    <m:mathFont m:val="Noteworthy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DB0CCB"/>
    <w:pPr>
      <w:ind w:left="452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uiPriority w:val="1"/>
    <w:qFormat/>
    <w:rsid w:val="00DB0CCB"/>
    <w:rPr>
      <w:sz w:val="24"/>
      <w:szCs w:val="24"/>
    </w:rPr>
  </w:style>
  <w:style w:type="paragraph" w:styleId="Title">
    <w:name w:val="Title"/>
    <w:basedOn w:val="Normal"/>
    <w:uiPriority w:val="10"/>
    <w:qFormat/>
    <w:rsid w:val="00DB0CCB"/>
    <w:pPr>
      <w:spacing w:before="27"/>
      <w:ind w:left="1312" w:right="364" w:hanging="941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rsid w:val="00DB0CCB"/>
  </w:style>
  <w:style w:type="paragraph" w:customStyle="1" w:styleId="TableParagraph">
    <w:name w:val="Table Paragraph"/>
    <w:basedOn w:val="Normal"/>
    <w:uiPriority w:val="1"/>
    <w:qFormat/>
    <w:rsid w:val="00DB0CCB"/>
  </w:style>
  <w:style w:type="character" w:styleId="PlaceholderText">
    <w:name w:val="Placeholder Text"/>
    <w:basedOn w:val="DefaultParagraphFont"/>
    <w:uiPriority w:val="99"/>
    <w:semiHidden/>
    <w:rsid w:val="004352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7A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7A4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7A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30A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0A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23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0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0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0A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522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3E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3E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E7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F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63"/>
    <w:rPr>
      <w:rFonts w:ascii="Lucida Grande" w:eastAsia="Times New Roman" w:hAnsi="Lucida Grande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A3ABC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08F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povertyactionlab.org/blog/4-15-20/cushioning-poor-covid-19-shock" TargetMode="External"/><Relationship Id="rId21" Type="http://schemas.openxmlformats.org/officeDocument/2006/relationships/hyperlink" Target="https://opportunityinsights.org/paper/tracker/" TargetMode="External"/><Relationship Id="rId22" Type="http://schemas.openxmlformats.org/officeDocument/2006/relationships/hyperlink" Target="https://www.bsg.ox.ac.uk/research/research-projects/covid-19-government-response-tracker" TargetMode="External"/><Relationship Id="rId23" Type="http://schemas.openxmlformats.org/officeDocument/2006/relationships/hyperlink" Target="https://www.imf.org/en/Topics/imf-and-covid19/Policy-Responses-to-COVID-19" TargetMode="External"/><Relationship Id="rId24" Type="http://schemas.openxmlformats.org/officeDocument/2006/relationships/hyperlink" Target="https://voxeu.org/article/heterogenous-effects-covid-19-households-financial-situation-and-consumption" TargetMode="External"/><Relationship Id="rId25" Type="http://schemas.openxmlformats.org/officeDocument/2006/relationships/hyperlink" Target="https://ifs.org.uk/inequality/" TargetMode="External"/><Relationship Id="rId26" Type="http://schemas.openxmlformats.org/officeDocument/2006/relationships/hyperlink" Target="https://urbanlabs.uchicago.edu/projects/covid-19-household-survey" TargetMode="External"/><Relationship Id="rId27" Type="http://schemas.openxmlformats.org/officeDocument/2006/relationships/hyperlink" Target="https://www.economicsobservatory.com/how-do-lockdowns-affect-economic-activity-developing-countries" TargetMode="External"/><Relationship Id="rId28" Type="http://schemas.openxmlformats.org/officeDocument/2006/relationships/hyperlink" Target="https://www.economicsobservatory.com/how-coronavirus-affecting-emerging-market-and-developing-economies" TargetMode="External"/><Relationship Id="rId29" Type="http://schemas.openxmlformats.org/officeDocument/2006/relationships/hyperlink" Target="https://www.economicsobservatory.com/what-has-happened-consumer-spending-during-covid-19-crisis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www.economicsobservatory.com/how-might-costly-sovereign-debt-default-emerging-economies-be-averted" TargetMode="External"/><Relationship Id="rId31" Type="http://schemas.openxmlformats.org/officeDocument/2006/relationships/hyperlink" Target="https://www.economicsobservatory.com/how-are-firms-emerging-markets-reacting-coronavirus-crisis" TargetMode="External"/><Relationship Id="rId32" Type="http://schemas.openxmlformats.org/officeDocument/2006/relationships/footer" Target="footer1.xml"/><Relationship Id="rId9" Type="http://schemas.openxmlformats.org/officeDocument/2006/relationships/hyperlink" Target="https://www.resolutionfoundation.org/app/uploads/2020/05/This-time-is-different.pdf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www.bloomberg.com/markets/rates-bonds" TargetMode="External"/><Relationship Id="rId8" Type="http://schemas.openxmlformats.org/officeDocument/2006/relationships/hyperlink" Target="https://elibrary.worldbank.org/doi/abs/10.1596/1813-9450-8157" TargetMode="External"/><Relationship Id="rId33" Type="http://schemas.openxmlformats.org/officeDocument/2006/relationships/hyperlink" Target="https://www.economicsobservatory.com/how-should-government-support-households-unpayable-debts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36" Type="http://schemas.microsoft.com/office/2016/09/relationships/commentsIds" Target="commentsIds.xml"/><Relationship Id="rId10" Type="http://schemas.openxmlformats.org/officeDocument/2006/relationships/hyperlink" Target="https://academic.oup.com/raps/article/10/4/834/5874450" TargetMode="External"/><Relationship Id="rId11" Type="http://schemas.openxmlformats.org/officeDocument/2006/relationships/hyperlink" Target="https://cepr.org/content/free-dp-download-14-may-2020-consumption-time-covid-19-evidence-uk-transaction-data" TargetMode="External"/><Relationship Id="rId12" Type="http://schemas.openxmlformats.org/officeDocument/2006/relationships/hyperlink" Target="https://www.nber.org/papers/w27431" TargetMode="External"/><Relationship Id="rId13" Type="http://schemas.openxmlformats.org/officeDocument/2006/relationships/hyperlink" Target="https://onlinelibrary.wiley.com/doi/10.1111/1475-5890.12231" TargetMode="External"/><Relationship Id="rId14" Type="http://schemas.openxmlformats.org/officeDocument/2006/relationships/hyperlink" Target="https://www.nber.org/papers/w28357" TargetMode="External"/><Relationship Id="rId15" Type="http://schemas.openxmlformats.org/officeDocument/2006/relationships/hyperlink" Target="https://academic.oup.com/oxrep/article/36/Supplement_1/S281/5899012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37" Type="http://schemas.microsoft.com/office/2011/relationships/commentsExtended" Target="commentsExtended.xml"/><Relationship Id="rId38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E6C42-501D-114C-942C-D1C4AF4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2759</Words>
  <Characters>14901</Characters>
  <Application>Microsoft Macintosh Word</Application>
  <DocSecurity>0</DocSecurity>
  <Lines>275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isajl</dc:creator>
  <cp:lastModifiedBy>Romesh Vaitilingam</cp:lastModifiedBy>
  <cp:revision>27</cp:revision>
  <dcterms:created xsi:type="dcterms:W3CDTF">2021-06-23T07:03:00Z</dcterms:created>
  <dcterms:modified xsi:type="dcterms:W3CDTF">2021-06-23T09:47:00Z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2021-04-25T00:00:00Z</vt:filetime>
  </property>
</Properties>
</file>