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2" w:rsidRPr="00104BA4" w:rsidRDefault="0087328A" w:rsidP="003A4245">
      <w:pPr>
        <w:pStyle w:val="Title"/>
      </w:pPr>
      <w:r w:rsidRPr="00104BA4">
        <w:t xml:space="preserve">How </w:t>
      </w:r>
      <w:r w:rsidR="00093D30" w:rsidRPr="00104BA4">
        <w:t xml:space="preserve">are </w:t>
      </w:r>
      <w:r w:rsidR="00445313" w:rsidRPr="00104BA4">
        <w:t xml:space="preserve">developing </w:t>
      </w:r>
      <w:r w:rsidR="00B3044F" w:rsidRPr="00104BA4">
        <w:t>economies</w:t>
      </w:r>
      <w:r w:rsidR="00093D30" w:rsidRPr="00104BA4">
        <w:t xml:space="preserve"> coping with the Covid-19 crisis</w:t>
      </w:r>
      <w:r w:rsidRPr="00104BA4">
        <w:t>?</w:t>
      </w:r>
    </w:p>
    <w:p w:rsidR="00093D30" w:rsidRPr="00104BA4" w:rsidRDefault="00093D30" w:rsidP="00DE0C25">
      <w:pPr>
        <w:spacing w:before="240"/>
      </w:pPr>
    </w:p>
    <w:p w:rsidR="004665B5" w:rsidRPr="00104BA4" w:rsidRDefault="004665B5" w:rsidP="00DE0C25">
      <w:pPr>
        <w:spacing w:before="240"/>
      </w:pPr>
      <w:r w:rsidRPr="00104BA4">
        <w:t>Teaser:</w:t>
      </w:r>
    </w:p>
    <w:p w:rsidR="00E40562" w:rsidRPr="00104BA4" w:rsidRDefault="00E40562" w:rsidP="00DE0C25">
      <w:pPr>
        <w:spacing w:before="240"/>
      </w:pPr>
      <w:r w:rsidRPr="00104BA4">
        <w:t>After the initial</w:t>
      </w:r>
      <w:r w:rsidR="00BB641C" w:rsidRPr="00104BA4">
        <w:t>ly</w:t>
      </w:r>
      <w:r w:rsidRPr="00104BA4">
        <w:t xml:space="preserve"> negative </w:t>
      </w:r>
      <w:r w:rsidR="00F72504" w:rsidRPr="00104BA4">
        <w:t xml:space="preserve">effects of the pandemic on developing countries’ </w:t>
      </w:r>
      <w:r w:rsidRPr="00104BA4">
        <w:t xml:space="preserve">financial markets, </w:t>
      </w:r>
      <w:r w:rsidR="00F72504" w:rsidRPr="00104BA4">
        <w:t xml:space="preserve">their </w:t>
      </w:r>
      <w:r w:rsidRPr="00104BA4">
        <w:t xml:space="preserve">economies have stabilised. But </w:t>
      </w:r>
      <w:r w:rsidR="00F72504" w:rsidRPr="00104BA4">
        <w:t xml:space="preserve">it has been difficult for governments to implement policies that </w:t>
      </w:r>
      <w:r w:rsidR="004665B5" w:rsidRPr="00104BA4">
        <w:t xml:space="preserve">both protect lives and </w:t>
      </w:r>
      <w:r w:rsidR="00F72504" w:rsidRPr="00104BA4">
        <w:t>insulate citizens from severe disruptions to economic activity</w:t>
      </w:r>
      <w:r w:rsidRPr="00104BA4">
        <w:t xml:space="preserve">. </w:t>
      </w:r>
    </w:p>
    <w:p w:rsidR="004665B5" w:rsidRPr="00104BA4" w:rsidRDefault="004665B5" w:rsidP="00DE0C25">
      <w:pPr>
        <w:spacing w:before="240"/>
      </w:pPr>
    </w:p>
    <w:p w:rsidR="00B9279F" w:rsidRPr="00104BA4" w:rsidRDefault="004665B5" w:rsidP="00DE0C25">
      <w:pPr>
        <w:spacing w:before="240"/>
      </w:pPr>
      <w:r w:rsidRPr="00104BA4">
        <w:t>Main text:</w:t>
      </w:r>
    </w:p>
    <w:p w:rsidR="005A0DF0" w:rsidRPr="00104BA4" w:rsidRDefault="001C5012" w:rsidP="00DE0C25">
      <w:pPr>
        <w:spacing w:before="240"/>
      </w:pPr>
      <w:r w:rsidRPr="00104BA4">
        <w:t xml:space="preserve">When </w:t>
      </w:r>
      <w:r w:rsidR="0046614C" w:rsidRPr="00104BA4">
        <w:t>the Government of India</w:t>
      </w:r>
      <w:r w:rsidR="001446F5" w:rsidRPr="00104BA4">
        <w:t xml:space="preserve"> first announced </w:t>
      </w:r>
      <w:r w:rsidR="00491C23" w:rsidRPr="00104BA4">
        <w:t xml:space="preserve">a </w:t>
      </w:r>
      <w:r w:rsidR="004665B5" w:rsidRPr="00104BA4">
        <w:t>countrywide</w:t>
      </w:r>
      <w:r w:rsidR="001446F5" w:rsidRPr="00104BA4">
        <w:t xml:space="preserve"> lockdown in March 2020, thousands of daily wage workers living in urban centres had to flee </w:t>
      </w:r>
      <w:r w:rsidR="00491C23" w:rsidRPr="00104BA4">
        <w:t xml:space="preserve">to their home </w:t>
      </w:r>
      <w:r w:rsidR="001446F5" w:rsidRPr="00104BA4">
        <w:t>villages</w:t>
      </w:r>
      <w:r w:rsidR="00FC55E2" w:rsidRPr="00104BA4">
        <w:t>,</w:t>
      </w:r>
      <w:r w:rsidR="001446F5" w:rsidRPr="00104BA4">
        <w:t xml:space="preserve"> where they hoped </w:t>
      </w:r>
      <w:r w:rsidR="00491C23" w:rsidRPr="00104BA4">
        <w:t xml:space="preserve">that </w:t>
      </w:r>
      <w:r w:rsidR="001446F5" w:rsidRPr="00104BA4">
        <w:t xml:space="preserve">their social networks </w:t>
      </w:r>
      <w:r w:rsidR="00FC55E2" w:rsidRPr="00104BA4">
        <w:t>would</w:t>
      </w:r>
      <w:r w:rsidR="001446F5" w:rsidRPr="00104BA4">
        <w:t xml:space="preserve"> insulate them from the brunt of the crisis. </w:t>
      </w:r>
      <w:r w:rsidR="00FC5E09" w:rsidRPr="00104BA4">
        <w:t xml:space="preserve">Despite dramatic scenes showing the plight of these migrants on their way </w:t>
      </w:r>
      <w:r w:rsidR="00491C23" w:rsidRPr="00104BA4">
        <w:t>home</w:t>
      </w:r>
      <w:r w:rsidR="00FC5E09" w:rsidRPr="00104BA4">
        <w:t>, the government stuck to its decision</w:t>
      </w:r>
      <w:r w:rsidR="00FB1074" w:rsidRPr="00104BA4">
        <w:t xml:space="preserve">. </w:t>
      </w:r>
    </w:p>
    <w:p w:rsidR="005A0DF0" w:rsidRPr="00104BA4" w:rsidRDefault="00FC55E2" w:rsidP="005A0DF0">
      <w:pPr>
        <w:spacing w:before="240"/>
      </w:pPr>
      <w:r w:rsidRPr="00104BA4">
        <w:t>Yet</w:t>
      </w:r>
      <w:r w:rsidR="00FC5E09" w:rsidRPr="00104BA4">
        <w:t xml:space="preserve"> </w:t>
      </w:r>
      <w:r w:rsidRPr="00104BA4">
        <w:t>as</w:t>
      </w:r>
      <w:r w:rsidR="00FC5E09" w:rsidRPr="00104BA4">
        <w:t xml:space="preserve"> India </w:t>
      </w:r>
      <w:r w:rsidR="002819B1" w:rsidRPr="00104BA4">
        <w:t xml:space="preserve">experienced a second </w:t>
      </w:r>
      <w:r w:rsidR="00FC5E09" w:rsidRPr="00104BA4">
        <w:t>wa</w:t>
      </w:r>
      <w:r w:rsidR="004B01B3" w:rsidRPr="00104BA4">
        <w:t>v</w:t>
      </w:r>
      <w:r w:rsidR="00FC5E09" w:rsidRPr="00104BA4">
        <w:t xml:space="preserve">e of the </w:t>
      </w:r>
      <w:r w:rsidR="002819B1" w:rsidRPr="00104BA4">
        <w:t>pandemic</w:t>
      </w:r>
      <w:r w:rsidR="003E29A2" w:rsidRPr="00104BA4">
        <w:t>,</w:t>
      </w:r>
      <w:r w:rsidR="00FC5E09" w:rsidRPr="00104BA4">
        <w:t xml:space="preserve"> which dwarf</w:t>
      </w:r>
      <w:r w:rsidR="002819B1" w:rsidRPr="00104BA4">
        <w:t>ed</w:t>
      </w:r>
      <w:r w:rsidR="00FC5E09" w:rsidRPr="00104BA4">
        <w:t xml:space="preserve"> the first </w:t>
      </w:r>
      <w:r w:rsidR="002819B1" w:rsidRPr="00104BA4">
        <w:t xml:space="preserve">wave </w:t>
      </w:r>
      <w:r w:rsidR="003E29A2" w:rsidRPr="00104BA4">
        <w:t>by all measures</w:t>
      </w:r>
      <w:r w:rsidR="00FC5E09" w:rsidRPr="00104BA4">
        <w:t xml:space="preserve">, </w:t>
      </w:r>
      <w:r w:rsidR="007A7EC2" w:rsidRPr="00104BA4">
        <w:t xml:space="preserve">the country’s </w:t>
      </w:r>
      <w:r w:rsidR="00E90FCE" w:rsidRPr="00104BA4">
        <w:t>p</w:t>
      </w:r>
      <w:r w:rsidR="00FC5E09" w:rsidRPr="00104BA4">
        <w:t xml:space="preserve">rime </w:t>
      </w:r>
      <w:r w:rsidR="00E90FCE" w:rsidRPr="00104BA4">
        <w:t>m</w:t>
      </w:r>
      <w:r w:rsidR="00FC5E09" w:rsidRPr="00104BA4">
        <w:t>inister</w:t>
      </w:r>
      <w:r w:rsidR="007A7EC2" w:rsidRPr="00104BA4">
        <w:t>,</w:t>
      </w:r>
      <w:r w:rsidR="00FC5E09" w:rsidRPr="00104BA4">
        <w:t xml:space="preserve"> </w:t>
      </w:r>
      <w:r w:rsidR="00BB0415" w:rsidRPr="00104BA4">
        <w:t xml:space="preserve">Narendra </w:t>
      </w:r>
      <w:r w:rsidR="00FC5E09" w:rsidRPr="00104BA4">
        <w:t>Modi</w:t>
      </w:r>
      <w:r w:rsidR="007A7EC2" w:rsidRPr="00104BA4">
        <w:t>,</w:t>
      </w:r>
      <w:r w:rsidR="00FC5E09" w:rsidRPr="00104BA4">
        <w:t xml:space="preserve"> </w:t>
      </w:r>
      <w:r w:rsidR="004B01B3" w:rsidRPr="00104BA4">
        <w:t>‘</w:t>
      </w:r>
      <w:hyperlink r:id="rId8" w:history="1">
        <w:r w:rsidR="004B01B3" w:rsidRPr="00104BA4">
          <w:rPr>
            <w:rStyle w:val="Hyperlink"/>
          </w:rPr>
          <w:t>urged</w:t>
        </w:r>
      </w:hyperlink>
      <w:r w:rsidR="004B01B3" w:rsidRPr="00104BA4">
        <w:t>’</w:t>
      </w:r>
      <w:r w:rsidR="00FC5E09" w:rsidRPr="00104BA4">
        <w:t xml:space="preserve"> </w:t>
      </w:r>
      <w:r w:rsidR="004B01B3" w:rsidRPr="00104BA4">
        <w:t>state governments to consider lockdown only as the last option.</w:t>
      </w:r>
      <w:r w:rsidR="005A0DF0" w:rsidRPr="00104BA4">
        <w:t xml:space="preserve"> </w:t>
      </w:r>
      <w:r w:rsidR="001F5781" w:rsidRPr="00104BA4">
        <w:t xml:space="preserve">This shift in </w:t>
      </w:r>
      <w:r w:rsidR="008A41C6">
        <w:t>developing country</w:t>
      </w:r>
      <w:r w:rsidR="001F5781" w:rsidRPr="00104BA4">
        <w:t xml:space="preserve"> government</w:t>
      </w:r>
      <w:r w:rsidRPr="00104BA4">
        <w:t>s</w:t>
      </w:r>
      <w:r w:rsidR="009D160E" w:rsidRPr="00104BA4">
        <w:t>’</w:t>
      </w:r>
      <w:r w:rsidR="001F5781" w:rsidRPr="00104BA4">
        <w:t xml:space="preserve"> approach </w:t>
      </w:r>
      <w:r w:rsidR="00491C23" w:rsidRPr="00104BA4">
        <w:t xml:space="preserve">to </w:t>
      </w:r>
      <w:r w:rsidR="001F5781" w:rsidRPr="00104BA4">
        <w:t xml:space="preserve">the public health crisis is not </w:t>
      </w:r>
      <w:r w:rsidR="00894B2E" w:rsidRPr="00104BA4">
        <w:t xml:space="preserve">confined </w:t>
      </w:r>
      <w:r w:rsidR="001F5781" w:rsidRPr="00104BA4">
        <w:t>to</w:t>
      </w:r>
      <w:r w:rsidR="00FB1074" w:rsidRPr="00104BA4">
        <w:t xml:space="preserve"> India</w:t>
      </w:r>
      <w:r w:rsidR="001F5781" w:rsidRPr="00104BA4">
        <w:t>.</w:t>
      </w:r>
      <w:r w:rsidR="008C3032" w:rsidRPr="00104BA4">
        <w:t xml:space="preserve"> National leadership</w:t>
      </w:r>
      <w:r w:rsidR="00FB1074" w:rsidRPr="00104BA4">
        <w:t>s</w:t>
      </w:r>
      <w:r w:rsidR="008C3032" w:rsidRPr="00104BA4">
        <w:t xml:space="preserve"> from Brazil to Pakistan have so far rejected the possibility of imposing </w:t>
      </w:r>
      <w:r w:rsidR="00491C23" w:rsidRPr="00104BA4">
        <w:t xml:space="preserve">further </w:t>
      </w:r>
      <w:r w:rsidR="008C3032" w:rsidRPr="00104BA4">
        <w:t>nationwide lockdown</w:t>
      </w:r>
      <w:r w:rsidR="00491C23" w:rsidRPr="00104BA4">
        <w:t>s</w:t>
      </w:r>
      <w:r w:rsidR="008C3032" w:rsidRPr="00104BA4">
        <w:t xml:space="preserve">. </w:t>
      </w:r>
    </w:p>
    <w:p w:rsidR="00564473" w:rsidRPr="00104BA4" w:rsidRDefault="00564473" w:rsidP="005A0DF0">
      <w:pPr>
        <w:spacing w:before="240"/>
      </w:pPr>
      <w:r w:rsidRPr="00104BA4">
        <w:t xml:space="preserve">This reluctance to follow in the footsteps of their counterparts in developed </w:t>
      </w:r>
      <w:r w:rsidR="00153EDE" w:rsidRPr="00104BA4">
        <w:t xml:space="preserve">countries </w:t>
      </w:r>
      <w:r w:rsidRPr="00104BA4">
        <w:t xml:space="preserve">is not without reason. While many developing </w:t>
      </w:r>
      <w:r w:rsidR="00153EDE" w:rsidRPr="00104BA4">
        <w:t xml:space="preserve">countries </w:t>
      </w:r>
      <w:r w:rsidRPr="00104BA4">
        <w:t xml:space="preserve">have done well in restoring stability to their economies, </w:t>
      </w:r>
      <w:r w:rsidR="0031655B" w:rsidRPr="00104BA4">
        <w:t xml:space="preserve">limited state capacity, </w:t>
      </w:r>
      <w:r w:rsidRPr="00104BA4">
        <w:t>high degree</w:t>
      </w:r>
      <w:r w:rsidR="008132EE" w:rsidRPr="00104BA4">
        <w:t>s</w:t>
      </w:r>
      <w:r w:rsidRPr="00104BA4">
        <w:t xml:space="preserve"> of informality and </w:t>
      </w:r>
      <w:r w:rsidR="00153EDE" w:rsidRPr="00104BA4">
        <w:t xml:space="preserve">a </w:t>
      </w:r>
      <w:r w:rsidRPr="00104BA4">
        <w:t xml:space="preserve">lack of financial inclusion </w:t>
      </w:r>
      <w:r w:rsidR="00491C23" w:rsidRPr="00104BA4">
        <w:t xml:space="preserve">have </w:t>
      </w:r>
      <w:r w:rsidR="00FC55E2" w:rsidRPr="00104BA4">
        <w:t xml:space="preserve">made it difficult for </w:t>
      </w:r>
      <w:r w:rsidR="00153EDE" w:rsidRPr="00104BA4">
        <w:t xml:space="preserve">many </w:t>
      </w:r>
      <w:r w:rsidR="00FC55E2" w:rsidRPr="00104BA4">
        <w:t xml:space="preserve">governments to implement </w:t>
      </w:r>
      <w:r w:rsidRPr="00104BA4">
        <w:t xml:space="preserve">the kind of policies </w:t>
      </w:r>
      <w:r w:rsidR="00FC55E2" w:rsidRPr="00104BA4">
        <w:t xml:space="preserve">that the </w:t>
      </w:r>
      <w:r w:rsidRPr="00104BA4">
        <w:t xml:space="preserve">developed world </w:t>
      </w:r>
      <w:r w:rsidR="00FC55E2" w:rsidRPr="00104BA4">
        <w:t xml:space="preserve">has </w:t>
      </w:r>
      <w:r w:rsidR="008A41C6">
        <w:t xml:space="preserve">used </w:t>
      </w:r>
      <w:r w:rsidRPr="00104BA4">
        <w:t>to insulate</w:t>
      </w:r>
      <w:r w:rsidR="00623A43" w:rsidRPr="00104BA4">
        <w:t xml:space="preserve"> their</w:t>
      </w:r>
      <w:r w:rsidRPr="00104BA4">
        <w:t xml:space="preserve"> citizen</w:t>
      </w:r>
      <w:r w:rsidR="00FC55E2" w:rsidRPr="00104BA4">
        <w:t>s</w:t>
      </w:r>
      <w:r w:rsidRPr="00104BA4">
        <w:t xml:space="preserve"> from </w:t>
      </w:r>
      <w:r w:rsidR="00623A43" w:rsidRPr="00104BA4">
        <w:t>disruption</w:t>
      </w:r>
      <w:r w:rsidR="00FC55E2" w:rsidRPr="00104BA4">
        <w:t>s</w:t>
      </w:r>
      <w:r w:rsidR="00623A43" w:rsidRPr="00104BA4">
        <w:t xml:space="preserve"> </w:t>
      </w:r>
      <w:r w:rsidR="008132EE" w:rsidRPr="00104BA4">
        <w:t>to</w:t>
      </w:r>
      <w:r w:rsidR="00623A43" w:rsidRPr="00104BA4">
        <w:t xml:space="preserve"> economic activity.</w:t>
      </w:r>
      <w:r w:rsidRPr="00104BA4">
        <w:t xml:space="preserve"> </w:t>
      </w:r>
    </w:p>
    <w:p w:rsidR="00DE0C25" w:rsidRPr="00104BA4" w:rsidRDefault="00BB01B7" w:rsidP="00DE0C25">
      <w:pPr>
        <w:pStyle w:val="Heading1"/>
      </w:pPr>
      <w:r w:rsidRPr="00104BA4">
        <w:t xml:space="preserve">What were the </w:t>
      </w:r>
      <w:r w:rsidR="006D35D5" w:rsidRPr="00104BA4">
        <w:t xml:space="preserve">immediate </w:t>
      </w:r>
      <w:r w:rsidRPr="00104BA4">
        <w:t>effects of Covid</w:t>
      </w:r>
      <w:r w:rsidR="00491C23" w:rsidRPr="00104BA4">
        <w:t>-19</w:t>
      </w:r>
      <w:r w:rsidRPr="00104BA4">
        <w:t>?</w:t>
      </w:r>
    </w:p>
    <w:p w:rsidR="00D8529A" w:rsidRPr="00104BA4" w:rsidRDefault="00D8529A" w:rsidP="00D8529A">
      <w:pPr>
        <w:spacing w:before="240"/>
      </w:pPr>
      <w:r w:rsidRPr="00104BA4">
        <w:t xml:space="preserve">When the pandemic first reached developing economies and stringent lockdowns were put in place, it was anticipated that the crisis </w:t>
      </w:r>
      <w:r w:rsidR="004665B5" w:rsidRPr="00104BA4">
        <w:t xml:space="preserve">would </w:t>
      </w:r>
      <w:r w:rsidRPr="00104BA4">
        <w:t xml:space="preserve">bring back memories of the 1997 East Asian financial crisis. Capital flows reversed, domestic currencies underwent significant depreciation, </w:t>
      </w:r>
      <w:r w:rsidR="009E539C" w:rsidRPr="00104BA4">
        <w:t xml:space="preserve">national stock </w:t>
      </w:r>
      <w:r w:rsidRPr="00104BA4">
        <w:t xml:space="preserve">markets crashed and </w:t>
      </w:r>
      <w:r w:rsidR="00E3646B" w:rsidRPr="00104BA4">
        <w:t xml:space="preserve">credit </w:t>
      </w:r>
      <w:r w:rsidRPr="00104BA4">
        <w:t xml:space="preserve">spreads increased. </w:t>
      </w:r>
      <w:r w:rsidR="00FE497B" w:rsidRPr="00104BA4">
        <w:t>Against</w:t>
      </w:r>
      <w:r w:rsidRPr="00104BA4">
        <w:t xml:space="preserve"> this backdrop, a full-blow</w:t>
      </w:r>
      <w:r w:rsidR="00FE497B" w:rsidRPr="00104BA4">
        <w:t>n</w:t>
      </w:r>
      <w:r w:rsidRPr="00104BA4">
        <w:t xml:space="preserve"> financial crisis did not seem t</w:t>
      </w:r>
      <w:r w:rsidR="00E3646B" w:rsidRPr="00104BA4">
        <w:t>o</w:t>
      </w:r>
      <w:r w:rsidRPr="00104BA4">
        <w:t xml:space="preserve">o far from the horizon. </w:t>
      </w:r>
    </w:p>
    <w:p w:rsidR="00FE497B" w:rsidRPr="00104BA4" w:rsidRDefault="0060080C" w:rsidP="00D8529A">
      <w:r w:rsidRPr="00104BA4">
        <w:t xml:space="preserve">In a span of </w:t>
      </w:r>
      <w:r w:rsidR="009309CD" w:rsidRPr="00104BA4">
        <w:t>just one month</w:t>
      </w:r>
      <w:r w:rsidRPr="00104BA4">
        <w:t>, more than $100</w:t>
      </w:r>
      <w:r w:rsidR="00FE497B" w:rsidRPr="00104BA4">
        <w:t xml:space="preserve"> </w:t>
      </w:r>
      <w:r w:rsidRPr="00104BA4">
        <w:t>b</w:t>
      </w:r>
      <w:r w:rsidR="00FE497B" w:rsidRPr="00104BA4">
        <w:t>illio</w:t>
      </w:r>
      <w:r w:rsidRPr="00104BA4">
        <w:t xml:space="preserve">n left emerging economies, almost </w:t>
      </w:r>
      <w:r w:rsidR="00760904" w:rsidRPr="00104BA4">
        <w:t>70</w:t>
      </w:r>
      <w:r w:rsidRPr="00104BA4">
        <w:t xml:space="preserve">% of which were outflows from </w:t>
      </w:r>
      <w:r w:rsidR="009E539C" w:rsidRPr="00104BA4">
        <w:t xml:space="preserve">stock </w:t>
      </w:r>
      <w:r w:rsidRPr="00104BA4">
        <w:t>markets</w:t>
      </w:r>
      <w:r w:rsidR="007747E5" w:rsidRPr="00104BA4">
        <w:t>.</w:t>
      </w:r>
      <w:r w:rsidRPr="00104BA4">
        <w:t xml:space="preserve"> </w:t>
      </w:r>
      <w:r w:rsidR="00F36E59" w:rsidRPr="00104BA4">
        <w:t xml:space="preserve">At its peak, cumulative outflows by non-residents from Asian markets (excluding China) amounted to almost 1% of their GDP. </w:t>
      </w:r>
      <w:r w:rsidR="005269D6" w:rsidRPr="00104BA4">
        <w:t>N</w:t>
      </w:r>
      <w:r w:rsidR="00A770E0" w:rsidRPr="00104BA4">
        <w:t xml:space="preserve">on-resident </w:t>
      </w:r>
      <w:r w:rsidR="00F36E59" w:rsidRPr="00104BA4">
        <w:t xml:space="preserve">outflows stood at 0.5% of GDP for Latin America and </w:t>
      </w:r>
      <w:r w:rsidR="00FE497B" w:rsidRPr="00104BA4">
        <w:t>Europe, the Middle East and Africa (</w:t>
      </w:r>
      <w:r w:rsidR="005269D6" w:rsidRPr="00104BA4">
        <w:t xml:space="preserve">the </w:t>
      </w:r>
      <w:r w:rsidR="00F36E59" w:rsidRPr="00104BA4">
        <w:t>EMEA region</w:t>
      </w:r>
      <w:r w:rsidR="00FE497B" w:rsidRPr="00104BA4">
        <w:t>)</w:t>
      </w:r>
      <w:r w:rsidR="00F36E59" w:rsidRPr="00104BA4">
        <w:t xml:space="preserve">. </w:t>
      </w:r>
    </w:p>
    <w:p w:rsidR="006111DB" w:rsidRPr="00104BA4" w:rsidRDefault="006111DB" w:rsidP="00D8529A">
      <w:r w:rsidRPr="00104BA4">
        <w:t xml:space="preserve">Emerging </w:t>
      </w:r>
      <w:r w:rsidR="0012195B" w:rsidRPr="00104BA4">
        <w:t>economies’</w:t>
      </w:r>
      <w:r w:rsidRPr="00104BA4">
        <w:t xml:space="preserve"> </w:t>
      </w:r>
      <w:r w:rsidR="0012195B" w:rsidRPr="00104BA4">
        <w:t>stock</w:t>
      </w:r>
      <w:r w:rsidRPr="00104BA4">
        <w:t xml:space="preserve"> </w:t>
      </w:r>
      <w:r w:rsidR="0012195B" w:rsidRPr="00104BA4">
        <w:t>markets</w:t>
      </w:r>
      <w:r w:rsidRPr="00104BA4">
        <w:t xml:space="preserve"> fell by around 20% in the immediate aftermath of the crisis (</w:t>
      </w:r>
      <w:r w:rsidR="00E90FCE" w:rsidRPr="00104BA4">
        <w:t xml:space="preserve">International Monetary Fund, </w:t>
      </w:r>
      <w:hyperlink r:id="rId9" w:history="1">
        <w:r w:rsidRPr="00104BA4">
          <w:rPr>
            <w:rStyle w:val="Hyperlink"/>
          </w:rPr>
          <w:t>IMF, 2020</w:t>
        </w:r>
        <w:r w:rsidR="00413127" w:rsidRPr="00104BA4">
          <w:rPr>
            <w:rStyle w:val="Hyperlink"/>
          </w:rPr>
          <w:t>a</w:t>
        </w:r>
      </w:hyperlink>
      <w:r w:rsidRPr="00104BA4">
        <w:t xml:space="preserve">). </w:t>
      </w:r>
      <w:r w:rsidR="0012195B" w:rsidRPr="00104BA4">
        <w:t>Several of the</w:t>
      </w:r>
      <w:r w:rsidR="00894B2E" w:rsidRPr="00104BA4">
        <w:t xml:space="preserve"> commodity-</w:t>
      </w:r>
      <w:r w:rsidR="00760904" w:rsidRPr="00104BA4">
        <w:t>exporting countries</w:t>
      </w:r>
      <w:r w:rsidR="00894B2E" w:rsidRPr="00104BA4">
        <w:t xml:space="preserve"> w</w:t>
      </w:r>
      <w:r w:rsidR="009E539C" w:rsidRPr="00104BA4">
        <w:t>ere among</w:t>
      </w:r>
      <w:r w:rsidR="0012195B" w:rsidRPr="00104BA4">
        <w:t xml:space="preserve"> the worst hit (Figure 1). </w:t>
      </w:r>
      <w:r w:rsidR="00965543" w:rsidRPr="00104BA4">
        <w:t>The currencies of Brazil, Colombia, Mexico, Russia and South Africa lost more than 20% in value during the first quarter of 2020</w:t>
      </w:r>
      <w:r w:rsidRPr="00104BA4">
        <w:t xml:space="preserve"> (</w:t>
      </w:r>
      <w:hyperlink r:id="rId10" w:history="1">
        <w:r w:rsidRPr="00104BA4">
          <w:rPr>
            <w:rStyle w:val="Hyperlink"/>
          </w:rPr>
          <w:t>IMF, 2020</w:t>
        </w:r>
        <w:r w:rsidR="00413127" w:rsidRPr="00104BA4">
          <w:rPr>
            <w:rStyle w:val="Hyperlink"/>
          </w:rPr>
          <w:t>a</w:t>
        </w:r>
      </w:hyperlink>
      <w:r w:rsidRPr="00104BA4">
        <w:t>)</w:t>
      </w:r>
      <w:r w:rsidR="00965543" w:rsidRPr="00104BA4">
        <w:t xml:space="preserve">. </w:t>
      </w:r>
    </w:p>
    <w:p w:rsidR="008132EE" w:rsidRPr="00104BA4" w:rsidRDefault="008132EE" w:rsidP="008132EE">
      <w:pPr>
        <w:pStyle w:val="Caption"/>
      </w:pPr>
      <w:r w:rsidRPr="00104BA4">
        <w:t xml:space="preserve">Figure </w:t>
      </w:r>
      <w:r w:rsidR="00FC7A91" w:rsidRPr="00104BA4">
        <w:fldChar w:fldCharType="begin"/>
      </w:r>
      <w:r w:rsidRPr="00104BA4">
        <w:instrText xml:space="preserve"> SEQ Figure \* ARABIC </w:instrText>
      </w:r>
      <w:r w:rsidR="00FC7A91" w:rsidRPr="00104BA4">
        <w:fldChar w:fldCharType="separate"/>
      </w:r>
      <w:r w:rsidRPr="00104BA4">
        <w:rPr>
          <w:noProof/>
        </w:rPr>
        <w:t>1</w:t>
      </w:r>
      <w:r w:rsidR="00FC7A91" w:rsidRPr="00104BA4">
        <w:rPr>
          <w:noProof/>
        </w:rPr>
        <w:fldChar w:fldCharType="end"/>
      </w:r>
      <w:r w:rsidRPr="00104BA4">
        <w:t>: Currency performance (versus dollar, percent, bars are max drawdown in Q1 2020, points are change through 9 April</w:t>
      </w:r>
    </w:p>
    <w:p w:rsidR="003064BE" w:rsidRPr="00104BA4" w:rsidRDefault="008132EE">
      <w:r w:rsidRPr="00104BA4">
        <w:rPr>
          <w:noProof/>
        </w:rPr>
        <w:drawing>
          <wp:inline distT="0" distB="0" distL="0" distR="0">
            <wp:extent cx="2921000" cy="21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21000" cy="2150110"/>
                    </a:xfrm>
                    <a:prstGeom prst="rect">
                      <a:avLst/>
                    </a:prstGeom>
                  </pic:spPr>
                </pic:pic>
              </a:graphicData>
            </a:graphic>
          </wp:inline>
        </w:drawing>
      </w:r>
    </w:p>
    <w:p w:rsidR="008132EE" w:rsidRPr="00104BA4" w:rsidRDefault="008132EE" w:rsidP="008132EE">
      <w:pPr>
        <w:pStyle w:val="Caption"/>
        <w:rPr>
          <w:noProof/>
        </w:rPr>
      </w:pPr>
      <w:r w:rsidRPr="00104BA4">
        <w:t>Source: Global Financial Stability Report, IMF, April 2020</w:t>
      </w:r>
    </w:p>
    <w:p w:rsidR="00FE497B" w:rsidRPr="00104BA4" w:rsidRDefault="00A41ED6" w:rsidP="00E43232">
      <w:pPr>
        <w:keepNext/>
        <w:spacing w:before="240" w:after="0"/>
      </w:pPr>
      <w:r w:rsidRPr="00104BA4">
        <w:t xml:space="preserve">These developments came </w:t>
      </w:r>
      <w:r w:rsidR="00FE497B" w:rsidRPr="00104BA4">
        <w:t xml:space="preserve">against </w:t>
      </w:r>
      <w:r w:rsidRPr="00104BA4">
        <w:t xml:space="preserve">the backdrop of vulnerabilities </w:t>
      </w:r>
      <w:r w:rsidR="00BB0415" w:rsidRPr="00104BA4">
        <w:t xml:space="preserve">that </w:t>
      </w:r>
      <w:r w:rsidRPr="00104BA4">
        <w:t>had</w:t>
      </w:r>
      <w:r w:rsidR="00FE497B" w:rsidRPr="00104BA4">
        <w:t xml:space="preserve"> already</w:t>
      </w:r>
      <w:r w:rsidRPr="00104BA4">
        <w:t xml:space="preserve"> </w:t>
      </w:r>
      <w:r w:rsidR="00CB2DD6" w:rsidRPr="00104BA4">
        <w:t>started to appear</w:t>
      </w:r>
      <w:r w:rsidRPr="00104BA4">
        <w:t xml:space="preserve"> in </w:t>
      </w:r>
      <w:r w:rsidR="00CB2DD6" w:rsidRPr="00104BA4">
        <w:t>emerging</w:t>
      </w:r>
      <w:r w:rsidRPr="00104BA4">
        <w:t xml:space="preserve"> economies over preceding years. For example, </w:t>
      </w:r>
      <w:r w:rsidR="00CB2DD6" w:rsidRPr="00104BA4">
        <w:t xml:space="preserve">on average, </w:t>
      </w:r>
      <w:r w:rsidRPr="00104BA4">
        <w:t xml:space="preserve">external </w:t>
      </w:r>
      <w:r w:rsidR="000672FA" w:rsidRPr="00104BA4">
        <w:t>financing</w:t>
      </w:r>
      <w:r w:rsidRPr="00104BA4">
        <w:t xml:space="preserve"> requirements </w:t>
      </w:r>
      <w:r w:rsidR="00A56FFB" w:rsidRPr="00104BA4">
        <w:t>(</w:t>
      </w:r>
      <w:r w:rsidR="0012195B" w:rsidRPr="00104BA4">
        <w:t xml:space="preserve">short-term </w:t>
      </w:r>
      <w:r w:rsidR="00A56FFB" w:rsidRPr="00104BA4">
        <w:t xml:space="preserve">borrowing requirements in foreign currency) </w:t>
      </w:r>
      <w:r w:rsidR="00CB2DD6" w:rsidRPr="00104BA4">
        <w:t xml:space="preserve">for these economies </w:t>
      </w:r>
      <w:r w:rsidRPr="00104BA4">
        <w:t>had increased from around 8% of GDP in 2008 to 11% just before C</w:t>
      </w:r>
      <w:r w:rsidR="00FE497B" w:rsidRPr="00104BA4">
        <w:t>ovid</w:t>
      </w:r>
      <w:r w:rsidR="00491C23" w:rsidRPr="00104BA4">
        <w:t>-19</w:t>
      </w:r>
      <w:r w:rsidRPr="00104BA4">
        <w:t xml:space="preserve">. </w:t>
      </w:r>
    </w:p>
    <w:p w:rsidR="00E40562" w:rsidRPr="00104BA4" w:rsidRDefault="00CB2DD6" w:rsidP="00E40562">
      <w:pPr>
        <w:keepNext/>
        <w:spacing w:before="240" w:after="0"/>
      </w:pPr>
      <w:r w:rsidRPr="00104BA4">
        <w:t>Likewise</w:t>
      </w:r>
      <w:r w:rsidR="00A41ED6" w:rsidRPr="00104BA4">
        <w:t xml:space="preserve">, the reliance on </w:t>
      </w:r>
      <w:r w:rsidR="007747E5" w:rsidRPr="00104BA4">
        <w:t>in</w:t>
      </w:r>
      <w:r w:rsidR="00A41ED6" w:rsidRPr="00104BA4">
        <w:t>flows</w:t>
      </w:r>
      <w:r w:rsidR="007747E5" w:rsidRPr="00104BA4">
        <w:t xml:space="preserve"> to </w:t>
      </w:r>
      <w:r w:rsidR="0012195B" w:rsidRPr="00104BA4">
        <w:t>countries’ stock</w:t>
      </w:r>
      <w:r w:rsidR="00A41ED6" w:rsidRPr="00104BA4">
        <w:t xml:space="preserve"> </w:t>
      </w:r>
      <w:r w:rsidR="007747E5" w:rsidRPr="00104BA4">
        <w:t xml:space="preserve">markets </w:t>
      </w:r>
      <w:r w:rsidR="00A41ED6" w:rsidRPr="00104BA4">
        <w:t xml:space="preserve">also increased from 6% of GDP to </w:t>
      </w:r>
      <w:r w:rsidR="008132EE" w:rsidRPr="00104BA4">
        <w:t>around</w:t>
      </w:r>
      <w:r w:rsidR="00A41ED6" w:rsidRPr="00104BA4">
        <w:t xml:space="preserve"> 12%. The increase for </w:t>
      </w:r>
      <w:r w:rsidR="00A56FFB" w:rsidRPr="00104BA4">
        <w:t>relatively riskier</w:t>
      </w:r>
      <w:r w:rsidR="00A41ED6" w:rsidRPr="00104BA4">
        <w:t xml:space="preserve"> </w:t>
      </w:r>
      <w:r w:rsidR="00A56FFB" w:rsidRPr="00104BA4">
        <w:t>economies</w:t>
      </w:r>
      <w:r w:rsidR="00A41ED6" w:rsidRPr="00104BA4">
        <w:t xml:space="preserve"> was significantly greater, from around 1% to 10% of GDP.</w:t>
      </w:r>
      <w:r w:rsidRPr="00104BA4">
        <w:t xml:space="preserve"> At the same time, the share of emerging market bonds, in the Emerging Market Bond Index, with a credit rating of </w:t>
      </w:r>
      <w:r w:rsidRPr="00104BA4">
        <w:rPr>
          <w:i/>
          <w:iCs/>
        </w:rPr>
        <w:t xml:space="preserve">B </w:t>
      </w:r>
      <w:r w:rsidRPr="00104BA4">
        <w:t>increased from close to 10% in 2008 to around 25% just before C</w:t>
      </w:r>
      <w:r w:rsidR="00FE497B" w:rsidRPr="00104BA4">
        <w:t>ovid</w:t>
      </w:r>
      <w:r w:rsidR="00491C23" w:rsidRPr="00104BA4">
        <w:t>-19</w:t>
      </w:r>
      <w:r w:rsidR="00E3646B" w:rsidRPr="00104BA4">
        <w:t xml:space="preserve"> (</w:t>
      </w:r>
      <w:hyperlink r:id="rId12" w:history="1">
        <w:r w:rsidR="00E3646B" w:rsidRPr="00104BA4">
          <w:rPr>
            <w:rStyle w:val="Hyperlink"/>
          </w:rPr>
          <w:t>IMF, 2020</w:t>
        </w:r>
        <w:r w:rsidR="00413127" w:rsidRPr="00104BA4">
          <w:rPr>
            <w:rStyle w:val="Hyperlink"/>
          </w:rPr>
          <w:t>a</w:t>
        </w:r>
      </w:hyperlink>
      <w:r w:rsidR="00E3646B" w:rsidRPr="00104BA4">
        <w:t>)</w:t>
      </w:r>
      <w:r w:rsidRPr="00104BA4">
        <w:t>.</w:t>
      </w:r>
    </w:p>
    <w:p w:rsidR="00DB295F" w:rsidRPr="00104BA4" w:rsidRDefault="000672FA" w:rsidP="009D160E">
      <w:pPr>
        <w:spacing w:before="240"/>
      </w:pPr>
      <w:r w:rsidRPr="00104BA4">
        <w:t>The sudden reversal in capital flows, together with underlying vulnerabilities, threatened the stability of financial system</w:t>
      </w:r>
      <w:r w:rsidR="00DB295F" w:rsidRPr="00104BA4">
        <w:t>s</w:t>
      </w:r>
      <w:r w:rsidRPr="00104BA4">
        <w:t xml:space="preserve"> and the rest of the economy. On average, credit spreads on e</w:t>
      </w:r>
      <w:r w:rsidR="00A5136C">
        <w:t>merging market dollar-</w:t>
      </w:r>
      <w:r w:rsidR="0008629E" w:rsidRPr="00104BA4">
        <w:t xml:space="preserve">denominated debt </w:t>
      </w:r>
      <w:r w:rsidRPr="00104BA4">
        <w:t>increased</w:t>
      </w:r>
      <w:r w:rsidR="0008629E" w:rsidRPr="00104BA4">
        <w:t xml:space="preserve"> from </w:t>
      </w:r>
      <w:r w:rsidR="00E431B0" w:rsidRPr="00104BA4">
        <w:t>less than</w:t>
      </w:r>
      <w:r w:rsidR="0008629E" w:rsidRPr="00104BA4">
        <w:t xml:space="preserve"> 250 basis points to </w:t>
      </w:r>
      <w:r w:rsidR="00E3646B" w:rsidRPr="00104BA4">
        <w:t xml:space="preserve">around </w:t>
      </w:r>
      <w:r w:rsidR="0008629E" w:rsidRPr="00104BA4">
        <w:t xml:space="preserve">640 basis points. The increase was as high as 800 basis points for developing </w:t>
      </w:r>
      <w:r w:rsidRPr="00104BA4">
        <w:t>economies</w:t>
      </w:r>
      <w:r w:rsidR="0008629E" w:rsidRPr="00104BA4">
        <w:t xml:space="preserve"> with credit ratings as low as </w:t>
      </w:r>
      <w:r w:rsidR="0008629E" w:rsidRPr="00104BA4">
        <w:rPr>
          <w:i/>
          <w:iCs/>
        </w:rPr>
        <w:t>B</w:t>
      </w:r>
      <w:r w:rsidR="0008629E" w:rsidRPr="00104BA4">
        <w:t>.</w:t>
      </w:r>
      <w:r w:rsidR="00A770E0" w:rsidRPr="00104BA4">
        <w:t xml:space="preserve"> </w:t>
      </w:r>
    </w:p>
    <w:p w:rsidR="0008629E" w:rsidRPr="00104BA4" w:rsidRDefault="00A770E0" w:rsidP="001C5012">
      <w:r w:rsidRPr="00104BA4">
        <w:t xml:space="preserve">According </w:t>
      </w:r>
      <w:r w:rsidR="00DB295F" w:rsidRPr="00104BA4">
        <w:t xml:space="preserve">to </w:t>
      </w:r>
      <w:r w:rsidRPr="00104BA4">
        <w:t>the IMF estimates, almost all of th</w:t>
      </w:r>
      <w:r w:rsidR="00DB295F" w:rsidRPr="00104BA4">
        <w:t>is</w:t>
      </w:r>
      <w:r w:rsidRPr="00104BA4">
        <w:t xml:space="preserve"> worsening in</w:t>
      </w:r>
      <w:r w:rsidR="00DB295F" w:rsidRPr="00104BA4">
        <w:t xml:space="preserve"> the</w:t>
      </w:r>
      <w:r w:rsidRPr="00104BA4">
        <w:t xml:space="preserve"> financial condition</w:t>
      </w:r>
      <w:r w:rsidR="00A5136C">
        <w:t>s</w:t>
      </w:r>
      <w:r w:rsidR="00DB295F" w:rsidRPr="00104BA4">
        <w:t xml:space="preserve"> of </w:t>
      </w:r>
      <w:r w:rsidRPr="00104BA4">
        <w:t xml:space="preserve">emerging </w:t>
      </w:r>
      <w:r w:rsidR="000D1FF2" w:rsidRPr="00104BA4">
        <w:t>economies</w:t>
      </w:r>
      <w:r w:rsidRPr="00104BA4">
        <w:t xml:space="preserve"> is explained by </w:t>
      </w:r>
      <w:r w:rsidR="000414BA" w:rsidRPr="00104BA4">
        <w:t xml:space="preserve">the </w:t>
      </w:r>
      <w:r w:rsidRPr="00104BA4">
        <w:t xml:space="preserve">increase in </w:t>
      </w:r>
      <w:r w:rsidR="00DB295F" w:rsidRPr="00104BA4">
        <w:t>‘</w:t>
      </w:r>
      <w:r w:rsidRPr="00104BA4">
        <w:t>external funding costs</w:t>
      </w:r>
      <w:r w:rsidR="00DB295F" w:rsidRPr="00104BA4">
        <w:t>’</w:t>
      </w:r>
      <w:r w:rsidRPr="00104BA4">
        <w:t>.</w:t>
      </w:r>
      <w:r w:rsidR="000D1FF2" w:rsidRPr="00104BA4">
        <w:t xml:space="preserve"> </w:t>
      </w:r>
      <w:r w:rsidR="00DB295F" w:rsidRPr="00104BA4">
        <w:t>But</w:t>
      </w:r>
      <w:r w:rsidR="000D1FF2" w:rsidRPr="00104BA4">
        <w:t xml:space="preserve"> the effect </w:t>
      </w:r>
      <w:r w:rsidR="00DB295F" w:rsidRPr="00104BA4">
        <w:t>spread</w:t>
      </w:r>
      <w:r w:rsidR="000D1FF2" w:rsidRPr="00104BA4">
        <w:t xml:space="preserve"> to most sectors of the economy.</w:t>
      </w:r>
      <w:r w:rsidR="008E4BE3" w:rsidRPr="00104BA4">
        <w:t xml:space="preserve"> Figure 2 shows that</w:t>
      </w:r>
      <w:r w:rsidR="00B12068" w:rsidRPr="00104BA4">
        <w:t xml:space="preserve"> as of April 2020, </w:t>
      </w:r>
      <w:r w:rsidR="000D1FF2" w:rsidRPr="00104BA4">
        <w:t>financial vulnerabilities had heightened for sovereigns, financial and non-financial firms, and households</w:t>
      </w:r>
      <w:r w:rsidR="000672FA" w:rsidRPr="00104BA4">
        <w:t xml:space="preserve">, and remained so in </w:t>
      </w:r>
      <w:r w:rsidR="00914A43" w:rsidRPr="00104BA4">
        <w:t xml:space="preserve">the </w:t>
      </w:r>
      <w:r w:rsidR="000672FA" w:rsidRPr="00104BA4">
        <w:t>following months</w:t>
      </w:r>
      <w:r w:rsidR="00413127" w:rsidRPr="00104BA4">
        <w:t xml:space="preserve"> (</w:t>
      </w:r>
      <w:hyperlink r:id="rId13" w:history="1">
        <w:r w:rsidR="00413127" w:rsidRPr="00104BA4">
          <w:rPr>
            <w:rStyle w:val="Hyperlink"/>
          </w:rPr>
          <w:t>IMF, 2020b</w:t>
        </w:r>
      </w:hyperlink>
      <w:r w:rsidR="00413127" w:rsidRPr="00104BA4">
        <w:t>)</w:t>
      </w:r>
      <w:r w:rsidR="000672FA" w:rsidRPr="00104BA4">
        <w:t>.</w:t>
      </w:r>
    </w:p>
    <w:p w:rsidR="00654967" w:rsidRPr="00104BA4" w:rsidRDefault="00654967" w:rsidP="00654967">
      <w:pPr>
        <w:keepNext/>
        <w:spacing w:before="240" w:after="0"/>
      </w:pPr>
      <w:r w:rsidRPr="00104BA4">
        <w:t>Figure 2: Financial vulnerabilities by sector and region</w:t>
      </w:r>
      <w:r w:rsidRPr="00104BA4">
        <w:rPr>
          <w:noProof/>
        </w:rPr>
        <w:drawing>
          <wp:inline distT="0" distB="0" distL="0" distR="0">
            <wp:extent cx="5731510" cy="2387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87600"/>
                    </a:xfrm>
                    <a:prstGeom prst="rect">
                      <a:avLst/>
                    </a:prstGeom>
                  </pic:spPr>
                </pic:pic>
              </a:graphicData>
            </a:graphic>
          </wp:inline>
        </w:drawing>
      </w:r>
    </w:p>
    <w:p w:rsidR="00654967" w:rsidRPr="00104BA4" w:rsidRDefault="00654967" w:rsidP="00654967">
      <w:pPr>
        <w:pStyle w:val="Caption"/>
      </w:pPr>
      <w:r w:rsidRPr="00104BA4">
        <w:t>Source: Global Financial Stability Report, IMF, April 2021.</w:t>
      </w:r>
    </w:p>
    <w:p w:rsidR="00DE0C25" w:rsidRPr="00104BA4" w:rsidRDefault="00AA0A08" w:rsidP="00963649">
      <w:pPr>
        <w:pStyle w:val="Heading1"/>
      </w:pPr>
      <w:r w:rsidRPr="00104BA4">
        <w:t>Policy response: ensuring stability</w:t>
      </w:r>
    </w:p>
    <w:p w:rsidR="00654967" w:rsidRPr="00104BA4" w:rsidRDefault="00D45A7D" w:rsidP="00DE0C25">
      <w:pPr>
        <w:spacing w:before="240"/>
      </w:pPr>
      <w:r w:rsidRPr="00104BA4">
        <w:t>While the immediate effect</w:t>
      </w:r>
      <w:r w:rsidR="00BB01B7" w:rsidRPr="00104BA4">
        <w:t>s</w:t>
      </w:r>
      <w:r w:rsidRPr="00104BA4">
        <w:t xml:space="preserve"> of C</w:t>
      </w:r>
      <w:r w:rsidR="00BB01B7" w:rsidRPr="00104BA4">
        <w:t>ovid</w:t>
      </w:r>
      <w:r w:rsidR="00491C23" w:rsidRPr="00104BA4">
        <w:t>-19</w:t>
      </w:r>
      <w:r w:rsidRPr="00104BA4">
        <w:t xml:space="preserve"> and</w:t>
      </w:r>
      <w:r w:rsidR="00535CE3" w:rsidRPr="00104BA4">
        <w:t xml:space="preserve"> the</w:t>
      </w:r>
      <w:r w:rsidRPr="00104BA4">
        <w:t xml:space="preserve"> associated lockdowns w</w:t>
      </w:r>
      <w:r w:rsidR="00BB01B7" w:rsidRPr="00104BA4">
        <w:t>ere</w:t>
      </w:r>
      <w:r w:rsidRPr="00104BA4">
        <w:t xml:space="preserve"> </w:t>
      </w:r>
      <w:r w:rsidR="00535CE3" w:rsidRPr="00104BA4">
        <w:t>devastating</w:t>
      </w:r>
      <w:r w:rsidRPr="00104BA4">
        <w:t xml:space="preserve">, the return to stability was equally impressive. Capital flows to emerging markets (excluding China) turned positive in May 2020 and increased thereafter. </w:t>
      </w:r>
      <w:r w:rsidR="00535CE3" w:rsidRPr="00104BA4">
        <w:t xml:space="preserve">Credit spreads also started to normalise soon after. </w:t>
      </w:r>
    </w:p>
    <w:p w:rsidR="00963649" w:rsidRPr="00104BA4" w:rsidRDefault="00654967" w:rsidP="00DE0C25">
      <w:pPr>
        <w:spacing w:before="240"/>
      </w:pPr>
      <w:r w:rsidRPr="00104BA4">
        <w:t>F</w:t>
      </w:r>
      <w:r w:rsidR="00535CE3" w:rsidRPr="00104BA4">
        <w:t>or countries with higher credit ratings (</w:t>
      </w:r>
      <w:r w:rsidR="00914A43" w:rsidRPr="00104BA4">
        <w:t xml:space="preserve">that is, </w:t>
      </w:r>
      <w:r w:rsidR="00535CE3" w:rsidRPr="00104BA4">
        <w:rPr>
          <w:i/>
          <w:iCs/>
        </w:rPr>
        <w:t>BBB</w:t>
      </w:r>
      <w:r w:rsidR="00535CE3" w:rsidRPr="00104BA4">
        <w:t xml:space="preserve"> and higher)</w:t>
      </w:r>
      <w:r w:rsidRPr="00104BA4">
        <w:t xml:space="preserve">, </w:t>
      </w:r>
      <w:r w:rsidR="00FE2629" w:rsidRPr="00104BA4">
        <w:t>credit spreads</w:t>
      </w:r>
      <w:r w:rsidR="00535CE3" w:rsidRPr="00104BA4">
        <w:t xml:space="preserve"> have now returned to their pre-pandemic level</w:t>
      </w:r>
      <w:r w:rsidR="007E3A1E" w:rsidRPr="00104BA4">
        <w:t>s</w:t>
      </w:r>
      <w:r w:rsidR="00535CE3" w:rsidRPr="00104BA4">
        <w:t xml:space="preserve">, whereas </w:t>
      </w:r>
      <w:r w:rsidR="00FE2629" w:rsidRPr="00104BA4">
        <w:t xml:space="preserve">credit spreads for countries with lower </w:t>
      </w:r>
      <w:r w:rsidR="00535CE3" w:rsidRPr="00104BA4">
        <w:t>ratings</w:t>
      </w:r>
      <w:r w:rsidRPr="00104BA4">
        <w:t xml:space="preserve"> </w:t>
      </w:r>
      <w:r w:rsidR="00535CE3" w:rsidRPr="00104BA4">
        <w:t xml:space="preserve">are </w:t>
      </w:r>
      <w:r w:rsidR="007E3A1E" w:rsidRPr="00104BA4">
        <w:t xml:space="preserve">under </w:t>
      </w:r>
      <w:r w:rsidR="00535CE3" w:rsidRPr="00104BA4">
        <w:t xml:space="preserve">150 basis points higher on average. </w:t>
      </w:r>
      <w:r w:rsidR="00BB01B7" w:rsidRPr="00104BA4">
        <w:t xml:space="preserve">The </w:t>
      </w:r>
      <w:r w:rsidR="00336668" w:rsidRPr="00104BA4">
        <w:t xml:space="preserve">IMF’s own estimates also point to normalisation of financial conditions across emerging economies before the end </w:t>
      </w:r>
      <w:r w:rsidR="007E3A1E" w:rsidRPr="00104BA4">
        <w:t xml:space="preserve">of </w:t>
      </w:r>
      <w:r w:rsidR="00336668" w:rsidRPr="00104BA4">
        <w:t>2020 (</w:t>
      </w:r>
      <w:hyperlink r:id="rId15" w:history="1">
        <w:r w:rsidR="00336668" w:rsidRPr="00104BA4">
          <w:rPr>
            <w:rStyle w:val="Hyperlink"/>
          </w:rPr>
          <w:t>IMF, 2021</w:t>
        </w:r>
      </w:hyperlink>
      <w:r w:rsidR="00336668" w:rsidRPr="00104BA4">
        <w:t>).</w:t>
      </w:r>
    </w:p>
    <w:p w:rsidR="00BB01B7" w:rsidRPr="00104BA4" w:rsidRDefault="002E72B2" w:rsidP="00DE0C25">
      <w:pPr>
        <w:spacing w:before="240"/>
      </w:pPr>
      <w:r w:rsidRPr="00104BA4">
        <w:t>K</w:t>
      </w:r>
      <w:r w:rsidR="008D69CD" w:rsidRPr="00104BA4">
        <w:t xml:space="preserve">ey factors </w:t>
      </w:r>
      <w:r w:rsidR="000467B5" w:rsidRPr="00104BA4">
        <w:t>that</w:t>
      </w:r>
      <w:r w:rsidR="008D69CD" w:rsidRPr="00104BA4">
        <w:t xml:space="preserve"> </w:t>
      </w:r>
      <w:r w:rsidRPr="00104BA4">
        <w:t>can</w:t>
      </w:r>
      <w:r w:rsidR="008D69CD" w:rsidRPr="00104BA4">
        <w:t xml:space="preserve"> be credited for restoring stability in financial markets</w:t>
      </w:r>
      <w:r w:rsidRPr="00104BA4">
        <w:t xml:space="preserve"> in developing economies</w:t>
      </w:r>
      <w:r w:rsidR="008D69CD" w:rsidRPr="00104BA4">
        <w:t xml:space="preserve"> include</w:t>
      </w:r>
      <w:r w:rsidR="000E3426" w:rsidRPr="00104BA4">
        <w:t>:</w:t>
      </w:r>
      <w:r w:rsidR="008D69CD" w:rsidRPr="00104BA4">
        <w:t xml:space="preserve"> </w:t>
      </w:r>
    </w:p>
    <w:p w:rsidR="00BB01B7" w:rsidRPr="00104BA4" w:rsidRDefault="00D533E3" w:rsidP="00F71768">
      <w:pPr>
        <w:pStyle w:val="ListParagraph"/>
        <w:numPr>
          <w:ilvl w:val="0"/>
          <w:numId w:val="1"/>
        </w:numPr>
      </w:pPr>
      <w:r w:rsidRPr="00104BA4">
        <w:t>T</w:t>
      </w:r>
      <w:r w:rsidR="008D69CD" w:rsidRPr="00104BA4">
        <w:t>he ability of national governments to conduct counter-cyclical poli</w:t>
      </w:r>
      <w:r w:rsidR="00A56FFB" w:rsidRPr="00104BA4">
        <w:t>cies:</w:t>
      </w:r>
      <w:r w:rsidR="00F71768" w:rsidRPr="00104BA4">
        <w:t xml:space="preserve"> </w:t>
      </w:r>
      <w:r w:rsidR="00654967" w:rsidRPr="00104BA4">
        <w:t>E</w:t>
      </w:r>
      <w:r w:rsidR="00F71768" w:rsidRPr="00104BA4">
        <w:t xml:space="preserve">xpansionary fiscal and monetary policies </w:t>
      </w:r>
      <w:r w:rsidR="00CD1A68" w:rsidRPr="00104BA4">
        <w:t>helped</w:t>
      </w:r>
      <w:r w:rsidR="00F71768" w:rsidRPr="00104BA4">
        <w:t xml:space="preserve"> </w:t>
      </w:r>
      <w:r w:rsidR="00C07B86" w:rsidRPr="00104BA4">
        <w:t xml:space="preserve">to </w:t>
      </w:r>
      <w:r w:rsidR="00CD1A68" w:rsidRPr="00104BA4">
        <w:t>stabilise</w:t>
      </w:r>
      <w:r w:rsidR="00F71768" w:rsidRPr="00104BA4">
        <w:t xml:space="preserve"> economic activity</w:t>
      </w:r>
      <w:r w:rsidR="00654967" w:rsidRPr="00104BA4">
        <w:t>.</w:t>
      </w:r>
    </w:p>
    <w:p w:rsidR="00BB01B7" w:rsidRPr="00104BA4" w:rsidRDefault="00D533E3" w:rsidP="00BB01B7">
      <w:pPr>
        <w:pStyle w:val="ListParagraph"/>
        <w:numPr>
          <w:ilvl w:val="0"/>
          <w:numId w:val="1"/>
        </w:numPr>
        <w:spacing w:before="240"/>
      </w:pPr>
      <w:r w:rsidRPr="00104BA4">
        <w:t>I</w:t>
      </w:r>
      <w:r w:rsidR="000E3426" w:rsidRPr="00104BA4">
        <w:t>nternational reserves</w:t>
      </w:r>
      <w:r w:rsidR="00A56FFB" w:rsidRPr="00104BA4">
        <w:t xml:space="preserve">: </w:t>
      </w:r>
      <w:r w:rsidR="00654967" w:rsidRPr="00104BA4">
        <w:t>A</w:t>
      </w:r>
      <w:r w:rsidR="00A56FFB" w:rsidRPr="00104BA4">
        <w:t>ccumulation of international reserves</w:t>
      </w:r>
      <w:r w:rsidR="00A6353C" w:rsidRPr="00104BA4">
        <w:t xml:space="preserve"> during recent decades allowed national governments to </w:t>
      </w:r>
      <w:r w:rsidR="00F71768" w:rsidRPr="00104BA4">
        <w:t xml:space="preserve">insulate </w:t>
      </w:r>
      <w:r w:rsidR="00A6353C" w:rsidRPr="00104BA4">
        <w:t xml:space="preserve">domestic economic activity </w:t>
      </w:r>
      <w:r w:rsidR="00F71768" w:rsidRPr="00104BA4">
        <w:t>from sudden reversal</w:t>
      </w:r>
      <w:r w:rsidR="00C07B86" w:rsidRPr="00104BA4">
        <w:t>s</w:t>
      </w:r>
      <w:r w:rsidR="00F71768" w:rsidRPr="00104BA4">
        <w:t xml:space="preserve"> in capital flows</w:t>
      </w:r>
      <w:r w:rsidR="00654967" w:rsidRPr="00104BA4">
        <w:t>.</w:t>
      </w:r>
    </w:p>
    <w:p w:rsidR="00BB01B7" w:rsidRPr="00104BA4" w:rsidRDefault="00D533E3" w:rsidP="00BB01B7">
      <w:pPr>
        <w:pStyle w:val="ListParagraph"/>
        <w:numPr>
          <w:ilvl w:val="0"/>
          <w:numId w:val="1"/>
        </w:numPr>
        <w:spacing w:before="240"/>
      </w:pPr>
      <w:r w:rsidRPr="00104BA4">
        <w:t>S</w:t>
      </w:r>
      <w:r w:rsidR="008D69CD" w:rsidRPr="00104BA4">
        <w:t>tronger banks</w:t>
      </w:r>
      <w:r w:rsidR="00A6353C" w:rsidRPr="00104BA4">
        <w:t xml:space="preserve">: </w:t>
      </w:r>
      <w:r w:rsidR="00654967" w:rsidRPr="00104BA4">
        <w:t>B</w:t>
      </w:r>
      <w:r w:rsidR="00A6353C" w:rsidRPr="00104BA4">
        <w:t xml:space="preserve">etter capitalised banks, together with enough liquid assets to meet short-term liabilities, </w:t>
      </w:r>
      <w:r w:rsidR="00CD1A68" w:rsidRPr="00104BA4">
        <w:t xml:space="preserve">were </w:t>
      </w:r>
      <w:r w:rsidR="00F71768" w:rsidRPr="00104BA4">
        <w:t>able to withstand sharp fluctuations in asset prices</w:t>
      </w:r>
      <w:r w:rsidR="00A6353C" w:rsidRPr="00104BA4">
        <w:t xml:space="preserve"> and market sentiment</w:t>
      </w:r>
      <w:r w:rsidR="00654967" w:rsidRPr="00104BA4">
        <w:t>.</w:t>
      </w:r>
    </w:p>
    <w:p w:rsidR="00BB01B7" w:rsidRPr="00104BA4" w:rsidRDefault="000E3426" w:rsidP="00BB01B7">
      <w:pPr>
        <w:pStyle w:val="ListParagraph"/>
        <w:numPr>
          <w:ilvl w:val="0"/>
          <w:numId w:val="1"/>
        </w:numPr>
        <w:spacing w:before="240"/>
      </w:pPr>
      <w:r w:rsidRPr="00104BA4">
        <w:t>US monetary policy</w:t>
      </w:r>
      <w:r w:rsidR="00A6353C" w:rsidRPr="00104BA4">
        <w:t xml:space="preserve">: </w:t>
      </w:r>
      <w:r w:rsidR="00654967" w:rsidRPr="00104BA4">
        <w:t>A</w:t>
      </w:r>
      <w:r w:rsidR="00A6353C" w:rsidRPr="00104BA4">
        <w:t>ccommodative policies adopted by the Federal Reserve</w:t>
      </w:r>
      <w:r w:rsidR="00782665">
        <w:t>, America’s central bank,</w:t>
      </w:r>
      <w:r w:rsidR="00A6353C" w:rsidRPr="00104BA4">
        <w:t xml:space="preserve"> kept dollar markets liquid</w:t>
      </w:r>
      <w:r w:rsidR="00C07B86" w:rsidRPr="00104BA4">
        <w:t>,</w:t>
      </w:r>
      <w:r w:rsidR="00A6353C" w:rsidRPr="00104BA4">
        <w:t xml:space="preserve"> thus facilitating developing economies in meeting their external financing requirements</w:t>
      </w:r>
      <w:r w:rsidR="00B65D10" w:rsidRPr="00104BA4">
        <w:t xml:space="preserve"> (see </w:t>
      </w:r>
      <w:hyperlink r:id="rId16" w:history="1">
        <w:r w:rsidR="00B65D10" w:rsidRPr="00104BA4">
          <w:rPr>
            <w:rStyle w:val="Hyperlink"/>
          </w:rPr>
          <w:t>Miranda-Agrippino and Rey</w:t>
        </w:r>
        <w:r w:rsidR="00654967" w:rsidRPr="00104BA4">
          <w:rPr>
            <w:rStyle w:val="Hyperlink"/>
          </w:rPr>
          <w:t>,</w:t>
        </w:r>
        <w:r w:rsidR="00B65D10" w:rsidRPr="00104BA4">
          <w:rPr>
            <w:rStyle w:val="Hyperlink"/>
          </w:rPr>
          <w:t xml:space="preserve"> 2020</w:t>
        </w:r>
      </w:hyperlink>
      <w:r w:rsidR="00B65D10" w:rsidRPr="00104BA4">
        <w:t xml:space="preserve"> for how US monetary policy affects global financial conditions)</w:t>
      </w:r>
      <w:r w:rsidR="00A6353C" w:rsidRPr="00104BA4">
        <w:t>.</w:t>
      </w:r>
    </w:p>
    <w:p w:rsidR="002E72B2" w:rsidRPr="00104BA4" w:rsidRDefault="008D69CD" w:rsidP="00BB01B7">
      <w:pPr>
        <w:spacing w:before="240"/>
      </w:pPr>
      <w:r w:rsidRPr="00104BA4">
        <w:t xml:space="preserve">Unlike during the </w:t>
      </w:r>
      <w:r w:rsidR="00A00B87" w:rsidRPr="00104BA4">
        <w:t xml:space="preserve">1997 </w:t>
      </w:r>
      <w:r w:rsidRPr="00104BA4">
        <w:t>Asian financial crisis</w:t>
      </w:r>
      <w:r w:rsidR="002E72B2" w:rsidRPr="00104BA4">
        <w:t xml:space="preserve"> or </w:t>
      </w:r>
      <w:r w:rsidR="00BD1B7F">
        <w:t xml:space="preserve">the </w:t>
      </w:r>
      <w:r w:rsidR="002E72B2" w:rsidRPr="00104BA4">
        <w:t>debt crises of</w:t>
      </w:r>
      <w:r w:rsidR="00BB01B7" w:rsidRPr="00104BA4">
        <w:t xml:space="preserve"> the</w:t>
      </w:r>
      <w:r w:rsidR="002E72B2" w:rsidRPr="00104BA4">
        <w:t xml:space="preserve"> </w:t>
      </w:r>
      <w:r w:rsidR="00BB01B7" w:rsidRPr="00104BA4">
        <w:t>19</w:t>
      </w:r>
      <w:r w:rsidR="002E72B2" w:rsidRPr="00104BA4">
        <w:t xml:space="preserve">80s </w:t>
      </w:r>
      <w:r w:rsidR="00A00B87" w:rsidRPr="00104BA4">
        <w:t xml:space="preserve">and 1990s </w:t>
      </w:r>
      <w:r w:rsidRPr="00104BA4">
        <w:t>when crisis</w:t>
      </w:r>
      <w:r w:rsidR="00E3646B" w:rsidRPr="00104BA4">
        <w:t>-</w:t>
      </w:r>
      <w:r w:rsidRPr="00104BA4">
        <w:t xml:space="preserve">hit governments had to resort to increasing domestic interest rates and </w:t>
      </w:r>
      <w:r w:rsidR="00DB2155" w:rsidRPr="00104BA4">
        <w:t xml:space="preserve">fiscal </w:t>
      </w:r>
      <w:r w:rsidRPr="00104BA4">
        <w:t>austerity</w:t>
      </w:r>
      <w:r w:rsidR="00DB2155" w:rsidRPr="00104BA4">
        <w:t xml:space="preserve"> to </w:t>
      </w:r>
      <w:r w:rsidR="00A00B87" w:rsidRPr="00104BA4">
        <w:t>restore economic stability</w:t>
      </w:r>
      <w:r w:rsidRPr="00104BA4">
        <w:t xml:space="preserve">, </w:t>
      </w:r>
      <w:r w:rsidR="004649CB" w:rsidRPr="00104BA4">
        <w:t xml:space="preserve">most </w:t>
      </w:r>
      <w:r w:rsidRPr="00104BA4">
        <w:t>governments</w:t>
      </w:r>
      <w:r w:rsidR="00A00B87" w:rsidRPr="00104BA4">
        <w:t xml:space="preserve"> </w:t>
      </w:r>
      <w:r w:rsidR="004649CB" w:rsidRPr="00104BA4">
        <w:t>across the developing world were successful in reducing</w:t>
      </w:r>
      <w:r w:rsidR="00A00B87" w:rsidRPr="00104BA4">
        <w:t xml:space="preserve"> interest rates and</w:t>
      </w:r>
      <w:r w:rsidR="004649CB" w:rsidRPr="00104BA4">
        <w:t>, moreover,</w:t>
      </w:r>
      <w:r w:rsidR="00A00B87" w:rsidRPr="00104BA4">
        <w:t xml:space="preserve"> announced large stimulus packages in </w:t>
      </w:r>
      <w:r w:rsidRPr="00104BA4">
        <w:t>response to the C</w:t>
      </w:r>
      <w:r w:rsidR="00BB01B7" w:rsidRPr="00104BA4">
        <w:t>ovid</w:t>
      </w:r>
      <w:r w:rsidR="00491C23" w:rsidRPr="00104BA4">
        <w:t>-19</w:t>
      </w:r>
      <w:r w:rsidRPr="00104BA4">
        <w:t xml:space="preserve"> shock.</w:t>
      </w:r>
    </w:p>
    <w:p w:rsidR="00654967" w:rsidRPr="00104BA4" w:rsidRDefault="00BB01B7" w:rsidP="00DE0C25">
      <w:pPr>
        <w:spacing w:before="240"/>
      </w:pPr>
      <w:r w:rsidRPr="00104BA4">
        <w:t>A</w:t>
      </w:r>
      <w:r w:rsidR="000E3426" w:rsidRPr="00104BA4">
        <w:t xml:space="preserve"> sample covering 104 countries and spanning</w:t>
      </w:r>
      <w:r w:rsidR="003704B4" w:rsidRPr="00104BA4">
        <w:t xml:space="preserve"> over</w:t>
      </w:r>
      <w:r w:rsidR="000E3426" w:rsidRPr="00104BA4">
        <w:t xml:space="preserve"> four decades from 1960 to 2003 show</w:t>
      </w:r>
      <w:r w:rsidRPr="00104BA4">
        <w:t>s</w:t>
      </w:r>
      <w:r w:rsidR="000E3426" w:rsidRPr="00104BA4">
        <w:t xml:space="preserve"> that government policies, both fiscal and monetary, had been pro-cyclical for developing countries</w:t>
      </w:r>
      <w:r w:rsidRPr="00104BA4">
        <w:t xml:space="preserve"> during this period (</w:t>
      </w:r>
      <w:hyperlink r:id="rId17" w:history="1">
        <w:r w:rsidRPr="00104BA4">
          <w:rPr>
            <w:rStyle w:val="Hyperlink"/>
          </w:rPr>
          <w:t>Kaminsky et al, 2004</w:t>
        </w:r>
      </w:hyperlink>
      <w:r w:rsidRPr="00104BA4">
        <w:t xml:space="preserve">; </w:t>
      </w:r>
      <w:r w:rsidR="002E72B2" w:rsidRPr="00104BA4">
        <w:t xml:space="preserve">see also </w:t>
      </w:r>
      <w:hyperlink r:id="rId18" w:history="1">
        <w:r w:rsidR="002E72B2" w:rsidRPr="00104BA4">
          <w:rPr>
            <w:rStyle w:val="Hyperlink"/>
          </w:rPr>
          <w:t>Gavin and Perotti, 1997</w:t>
        </w:r>
      </w:hyperlink>
      <w:r w:rsidR="002E72B2" w:rsidRPr="00104BA4">
        <w:t xml:space="preserve">; </w:t>
      </w:r>
      <w:hyperlink r:id="rId19" w:history="1">
        <w:r w:rsidR="002E72B2" w:rsidRPr="00104BA4">
          <w:rPr>
            <w:rStyle w:val="Hyperlink"/>
          </w:rPr>
          <w:t>Talvi and Vegh, 200</w:t>
        </w:r>
        <w:r w:rsidR="00311E41" w:rsidRPr="00104BA4">
          <w:rPr>
            <w:rStyle w:val="Hyperlink"/>
          </w:rPr>
          <w:t>0</w:t>
        </w:r>
      </w:hyperlink>
      <w:r w:rsidR="002A340C" w:rsidRPr="00104BA4">
        <w:t xml:space="preserve">; </w:t>
      </w:r>
      <w:r w:rsidR="00820B6C" w:rsidRPr="00104BA4">
        <w:t xml:space="preserve">and </w:t>
      </w:r>
      <w:hyperlink r:id="rId20" w:history="1">
        <w:r w:rsidR="004665B5" w:rsidRPr="00104BA4">
          <w:rPr>
            <w:rStyle w:val="Hyperlink"/>
          </w:rPr>
          <w:t>Ilzetz</w:t>
        </w:r>
        <w:r w:rsidR="002A340C" w:rsidRPr="00104BA4">
          <w:rPr>
            <w:rStyle w:val="Hyperlink"/>
          </w:rPr>
          <w:t>ki and Végh, 2008</w:t>
        </w:r>
      </w:hyperlink>
      <w:r w:rsidR="002E72B2" w:rsidRPr="00104BA4">
        <w:t>).</w:t>
      </w:r>
      <w:r w:rsidR="004649CB" w:rsidRPr="00104BA4">
        <w:t xml:space="preserve"> </w:t>
      </w:r>
    </w:p>
    <w:p w:rsidR="00330893" w:rsidRPr="00104BA4" w:rsidRDefault="002E72B2" w:rsidP="00DE0C25">
      <w:pPr>
        <w:spacing w:before="240"/>
      </w:pPr>
      <w:r w:rsidRPr="00104BA4">
        <w:t>Since then</w:t>
      </w:r>
      <w:r w:rsidR="00BB01B7" w:rsidRPr="00104BA4">
        <w:t>,</w:t>
      </w:r>
      <w:r w:rsidRPr="00104BA4">
        <w:t xml:space="preserve"> m</w:t>
      </w:r>
      <w:r w:rsidR="00D6775F" w:rsidRPr="00104BA4">
        <w:t xml:space="preserve">any </w:t>
      </w:r>
      <w:r w:rsidRPr="00104BA4">
        <w:t>have</w:t>
      </w:r>
      <w:r w:rsidR="00D6775F" w:rsidRPr="00104BA4">
        <w:t xml:space="preserve"> moved away from </w:t>
      </w:r>
      <w:r w:rsidR="00BB01B7" w:rsidRPr="00104BA4">
        <w:t xml:space="preserve">a </w:t>
      </w:r>
      <w:r w:rsidR="00D6775F" w:rsidRPr="00104BA4">
        <w:t>fixed exchange rate regime</w:t>
      </w:r>
      <w:r w:rsidR="00D22A3E" w:rsidRPr="00104BA4">
        <w:t xml:space="preserve">, </w:t>
      </w:r>
      <w:r w:rsidRPr="00104BA4">
        <w:t xml:space="preserve">thus allowing their central banks more freedom </w:t>
      </w:r>
      <w:r w:rsidR="003704B4" w:rsidRPr="00104BA4">
        <w:t>when it comes to</w:t>
      </w:r>
      <w:r w:rsidRPr="00104BA4">
        <w:t xml:space="preserve"> stabilis</w:t>
      </w:r>
      <w:r w:rsidR="003704B4" w:rsidRPr="00104BA4">
        <w:t>ing</w:t>
      </w:r>
      <w:r w:rsidR="00BB01B7" w:rsidRPr="00104BA4">
        <w:t xml:space="preserve"> the</w:t>
      </w:r>
      <w:r w:rsidR="003704B4" w:rsidRPr="00104BA4">
        <w:t xml:space="preserve"> </w:t>
      </w:r>
      <w:r w:rsidRPr="00104BA4">
        <w:t xml:space="preserve">domestic </w:t>
      </w:r>
      <w:r w:rsidR="003704B4" w:rsidRPr="00104BA4">
        <w:t xml:space="preserve">economy </w:t>
      </w:r>
      <w:r w:rsidRPr="00104BA4">
        <w:t>(</w:t>
      </w:r>
      <w:hyperlink r:id="rId21" w:history="1">
        <w:r w:rsidRPr="00104BA4">
          <w:rPr>
            <w:rStyle w:val="Hyperlink"/>
          </w:rPr>
          <w:t>Svensson, 2010</w:t>
        </w:r>
      </w:hyperlink>
      <w:r w:rsidRPr="00104BA4">
        <w:t xml:space="preserve">). An increase in </w:t>
      </w:r>
      <w:r w:rsidR="003704B4" w:rsidRPr="00104BA4">
        <w:t xml:space="preserve">foreign currency </w:t>
      </w:r>
      <w:r w:rsidRPr="00104BA4">
        <w:t>reserve holdings has also allowed governments to insulate domestic economies in the face of</w:t>
      </w:r>
      <w:r w:rsidR="00BB01B7" w:rsidRPr="00104BA4">
        <w:t xml:space="preserve"> a</w:t>
      </w:r>
      <w:r w:rsidRPr="00104BA4">
        <w:t xml:space="preserve"> sudden reverse of capital flows, reducing the need to engage in </w:t>
      </w:r>
      <w:r w:rsidR="00FB7D05" w:rsidRPr="00104BA4">
        <w:t xml:space="preserve">pro-cyclical </w:t>
      </w:r>
      <w:r w:rsidR="003704B4" w:rsidRPr="00104BA4">
        <w:t>policies</w:t>
      </w:r>
      <w:r w:rsidR="00FB7D05" w:rsidRPr="00104BA4">
        <w:t xml:space="preserve"> such as increasing interest rates and implementing fiscal austerity</w:t>
      </w:r>
      <w:r w:rsidR="003704B4" w:rsidRPr="00104BA4">
        <w:t xml:space="preserve"> </w:t>
      </w:r>
      <w:r w:rsidR="00CD2BD9" w:rsidRPr="00104BA4">
        <w:t>(</w:t>
      </w:r>
      <w:hyperlink r:id="rId22" w:anchor=":~:text=The%20rapid%20growth%20of%20international,markets%2D%2D%2Dremains%20a%20puzzle.&amp;text=Our%20empirical%20financial%2Dstability%20model,on%20external%20short%2Dterm%20debt." w:history="1">
        <w:r w:rsidR="00CD2BD9" w:rsidRPr="00104BA4">
          <w:rPr>
            <w:rStyle w:val="Hyperlink"/>
          </w:rPr>
          <w:t>Obstfeld et al, 2010</w:t>
        </w:r>
      </w:hyperlink>
      <w:r w:rsidR="00CD2BD9" w:rsidRPr="00104BA4">
        <w:t xml:space="preserve">; </w:t>
      </w:r>
      <w:hyperlink r:id="rId23" w:history="1">
        <w:r w:rsidR="00CD2BD9" w:rsidRPr="00104BA4">
          <w:rPr>
            <w:rStyle w:val="Hyperlink"/>
          </w:rPr>
          <w:t>Jeanne and Ranciere, 2011</w:t>
        </w:r>
      </w:hyperlink>
      <w:r w:rsidR="00CD2BD9" w:rsidRPr="00104BA4">
        <w:t>)</w:t>
      </w:r>
      <w:r w:rsidRPr="00104BA4">
        <w:t xml:space="preserve">. </w:t>
      </w:r>
    </w:p>
    <w:p w:rsidR="002E72B2" w:rsidRPr="00104BA4" w:rsidRDefault="00454750" w:rsidP="00DE0C25">
      <w:pPr>
        <w:spacing w:before="240"/>
      </w:pPr>
      <w:r w:rsidRPr="00104BA4">
        <w:t>As a result of</w:t>
      </w:r>
      <w:r w:rsidR="004649CB" w:rsidRPr="00104BA4">
        <w:t xml:space="preserve"> these development</w:t>
      </w:r>
      <w:r w:rsidRPr="00104BA4">
        <w:t>s</w:t>
      </w:r>
      <w:r w:rsidR="004649CB" w:rsidRPr="00104BA4">
        <w:t>, more recent</w:t>
      </w:r>
      <w:r w:rsidR="00BB2F3B" w:rsidRPr="00104BA4">
        <w:t xml:space="preserve"> research </w:t>
      </w:r>
      <w:r w:rsidR="003704B4" w:rsidRPr="00104BA4">
        <w:t>find</w:t>
      </w:r>
      <w:r w:rsidR="00BB2F3B" w:rsidRPr="00104BA4">
        <w:t>s</w:t>
      </w:r>
      <w:r w:rsidR="003704B4" w:rsidRPr="00104BA4">
        <w:t xml:space="preserve"> </w:t>
      </w:r>
      <w:r w:rsidR="000C06C2" w:rsidRPr="00104BA4">
        <w:t xml:space="preserve">that </w:t>
      </w:r>
      <w:r w:rsidR="00E3646B" w:rsidRPr="00104BA4">
        <w:t>during</w:t>
      </w:r>
      <w:r w:rsidR="000C06C2" w:rsidRPr="00104BA4">
        <w:t xml:space="preserve"> the first decade of the 21</w:t>
      </w:r>
      <w:r w:rsidR="000C06C2" w:rsidRPr="00104BA4">
        <w:rPr>
          <w:vertAlign w:val="superscript"/>
        </w:rPr>
        <w:t>st</w:t>
      </w:r>
      <w:r w:rsidR="000C06C2" w:rsidRPr="00104BA4">
        <w:t xml:space="preserve"> century</w:t>
      </w:r>
      <w:r w:rsidR="00BF3468" w:rsidRPr="00104BA4">
        <w:t>,</w:t>
      </w:r>
      <w:r w:rsidR="000C06C2" w:rsidRPr="00104BA4">
        <w:t xml:space="preserve"> fiscal policy in almost </w:t>
      </w:r>
      <w:r w:rsidR="003704B4" w:rsidRPr="00104BA4">
        <w:t xml:space="preserve">one-third of developing economies </w:t>
      </w:r>
      <w:r w:rsidR="000C06C2" w:rsidRPr="00104BA4">
        <w:t xml:space="preserve">has escaped </w:t>
      </w:r>
      <w:r w:rsidR="00BB2F3B" w:rsidRPr="00104BA4">
        <w:t>‘</w:t>
      </w:r>
      <w:r w:rsidR="000C06C2" w:rsidRPr="00104BA4">
        <w:t>the pro</w:t>
      </w:r>
      <w:r w:rsidR="005C1E59" w:rsidRPr="00104BA4">
        <w:t>-</w:t>
      </w:r>
      <w:r w:rsidR="000C06C2" w:rsidRPr="00104BA4">
        <w:t>cyclicality trap and actually become countercyclical</w:t>
      </w:r>
      <w:r w:rsidR="00BB2F3B" w:rsidRPr="00104BA4">
        <w:t>’ (</w:t>
      </w:r>
      <w:hyperlink r:id="rId24" w:history="1">
        <w:r w:rsidR="00BB2F3B" w:rsidRPr="00104BA4">
          <w:rPr>
            <w:rStyle w:val="Hyperlink"/>
          </w:rPr>
          <w:t>Frankel et al, 201</w:t>
        </w:r>
        <w:r w:rsidR="00FB7D05" w:rsidRPr="00104BA4">
          <w:rPr>
            <w:rStyle w:val="Hyperlink"/>
          </w:rPr>
          <w:t>1</w:t>
        </w:r>
      </w:hyperlink>
      <w:r w:rsidR="00BB2F3B" w:rsidRPr="00104BA4">
        <w:t>)</w:t>
      </w:r>
      <w:r w:rsidR="000C06C2" w:rsidRPr="00104BA4">
        <w:t>.</w:t>
      </w:r>
      <w:r w:rsidRPr="00104BA4">
        <w:t xml:space="preserve"> In other words, responsible policy behaviour in times when the economy is stable has allowed policy</w:t>
      </w:r>
      <w:r w:rsidR="00F606EE" w:rsidRPr="00104BA4">
        <w:t>-</w:t>
      </w:r>
      <w:r w:rsidRPr="00104BA4">
        <w:t xml:space="preserve">makers </w:t>
      </w:r>
      <w:r w:rsidR="00B6216C" w:rsidRPr="00104BA4">
        <w:t xml:space="preserve">in these countries </w:t>
      </w:r>
      <w:r w:rsidRPr="00104BA4">
        <w:t xml:space="preserve">to respond more aggressively in times of crises. </w:t>
      </w:r>
    </w:p>
    <w:p w:rsidR="00BB2F3B" w:rsidRPr="00104BA4" w:rsidRDefault="000467B5" w:rsidP="000467B5">
      <w:pPr>
        <w:spacing w:before="240"/>
      </w:pPr>
      <w:r w:rsidRPr="00104BA4">
        <w:t>Reflecting this transformation,</w:t>
      </w:r>
      <w:r w:rsidR="00272824" w:rsidRPr="00104BA4">
        <w:t xml:space="preserve"> several governments across emerging economies announced large fiscal packages. Likewise,</w:t>
      </w:r>
      <w:r w:rsidRPr="00104BA4">
        <w:t xml:space="preserve"> </w:t>
      </w:r>
      <w:r w:rsidR="008D69CD" w:rsidRPr="00104BA4">
        <w:t>central banks reduced interest rates and, in the face of increasing funding costs from external sources, provid</w:t>
      </w:r>
      <w:r w:rsidR="00076C1A" w:rsidRPr="00104BA4">
        <w:t>ed</w:t>
      </w:r>
      <w:r w:rsidR="008D69CD" w:rsidRPr="00104BA4">
        <w:t xml:space="preserve"> much needed liquidity to the banking system. </w:t>
      </w:r>
      <w:r w:rsidR="003B3C4D" w:rsidRPr="00104BA4">
        <w:t>Central banks also played an active role in</w:t>
      </w:r>
      <w:r w:rsidR="004D706E" w:rsidRPr="00104BA4">
        <w:t xml:space="preserve"> facilitating</w:t>
      </w:r>
      <w:r w:rsidR="003B3C4D" w:rsidRPr="00104BA4">
        <w:t xml:space="preserve"> restructuring and deferral of loan repayments</w:t>
      </w:r>
      <w:r w:rsidR="00347EFE">
        <w:t>.</w:t>
      </w:r>
      <w:r w:rsidR="004D706E" w:rsidRPr="00104BA4">
        <w:t xml:space="preserve"> </w:t>
      </w:r>
    </w:p>
    <w:p w:rsidR="00272824" w:rsidRPr="00104BA4" w:rsidRDefault="004D706E" w:rsidP="000467B5">
      <w:pPr>
        <w:spacing w:before="240"/>
      </w:pPr>
      <w:r w:rsidRPr="00104BA4">
        <w:t xml:space="preserve">For example, </w:t>
      </w:r>
      <w:r w:rsidR="00113D57" w:rsidRPr="00104BA4">
        <w:t>the</w:t>
      </w:r>
      <w:r w:rsidRPr="00104BA4">
        <w:t xml:space="preserve"> </w:t>
      </w:r>
      <w:r w:rsidRPr="00104BA4">
        <w:rPr>
          <w:i/>
          <w:iCs/>
        </w:rPr>
        <w:t>Debt Relief Scheme</w:t>
      </w:r>
      <w:r w:rsidRPr="00104BA4">
        <w:t xml:space="preserve"> </w:t>
      </w:r>
      <w:r w:rsidR="00113D57" w:rsidRPr="00104BA4">
        <w:t>introduced</w:t>
      </w:r>
      <w:r w:rsidRPr="00104BA4">
        <w:t xml:space="preserve"> by the State Bank of Pakistan received close to </w:t>
      </w:r>
      <w:r w:rsidR="00491C23" w:rsidRPr="00104BA4">
        <w:t xml:space="preserve">two </w:t>
      </w:r>
      <w:r w:rsidRPr="00104BA4">
        <w:t>million applications</w:t>
      </w:r>
      <w:r w:rsidR="007640B1" w:rsidRPr="00104BA4">
        <w:t xml:space="preserve">, </w:t>
      </w:r>
      <w:r w:rsidRPr="00104BA4">
        <w:t xml:space="preserve">almost 99% of which were </w:t>
      </w:r>
      <w:r w:rsidR="00413A10" w:rsidRPr="00104BA4">
        <w:t>from customers of microfinance banking institutions</w:t>
      </w:r>
      <w:r w:rsidR="007640B1" w:rsidRPr="00104BA4">
        <w:t>. As of April 2021, around $6</w:t>
      </w:r>
      <w:r w:rsidR="005823A3" w:rsidRPr="00104BA4">
        <w:t xml:space="preserve"> </w:t>
      </w:r>
      <w:r w:rsidR="007640B1" w:rsidRPr="00104BA4">
        <w:t>b</w:t>
      </w:r>
      <w:r w:rsidR="005823A3" w:rsidRPr="00104BA4">
        <w:t>illio</w:t>
      </w:r>
      <w:r w:rsidR="007640B1" w:rsidRPr="00104BA4">
        <w:t xml:space="preserve">n </w:t>
      </w:r>
      <w:r w:rsidR="005823A3" w:rsidRPr="00104BA4">
        <w:t xml:space="preserve">of loans </w:t>
      </w:r>
      <w:r w:rsidR="007640B1" w:rsidRPr="00104BA4">
        <w:t xml:space="preserve">in total </w:t>
      </w:r>
      <w:r w:rsidR="00413A10" w:rsidRPr="00104BA4">
        <w:t>had</w:t>
      </w:r>
      <w:r w:rsidR="007640B1" w:rsidRPr="00104BA4">
        <w:t xml:space="preserve"> been restructured, amounting to 16% of outstanding loan</w:t>
      </w:r>
      <w:r w:rsidR="005823A3" w:rsidRPr="00104BA4">
        <w:t>s</w:t>
      </w:r>
      <w:r w:rsidR="007640B1" w:rsidRPr="00104BA4">
        <w:t xml:space="preserve"> to private sector business</w:t>
      </w:r>
      <w:r w:rsidR="005823A3" w:rsidRPr="00104BA4">
        <w:t>es</w:t>
      </w:r>
      <w:r w:rsidR="007640B1" w:rsidRPr="00104BA4">
        <w:t xml:space="preserve"> and</w:t>
      </w:r>
      <w:r w:rsidR="009D2CE9" w:rsidRPr="00104BA4">
        <w:t xml:space="preserve"> </w:t>
      </w:r>
      <w:r w:rsidR="00113D57" w:rsidRPr="00104BA4">
        <w:t>close to</w:t>
      </w:r>
      <w:r w:rsidR="007640B1" w:rsidRPr="00104BA4">
        <w:t xml:space="preserve"> 2% of the country’s GDP.</w:t>
      </w:r>
      <w:r w:rsidR="00113D57" w:rsidRPr="00104BA4">
        <w:t xml:space="preserve"> </w:t>
      </w:r>
    </w:p>
    <w:p w:rsidR="009B031E" w:rsidRPr="00104BA4" w:rsidRDefault="00272824" w:rsidP="00000587">
      <w:pPr>
        <w:spacing w:before="240"/>
      </w:pPr>
      <w:r w:rsidRPr="00104BA4">
        <w:t xml:space="preserve">While the banking system across </w:t>
      </w:r>
      <w:r w:rsidR="00D12904" w:rsidRPr="00104BA4">
        <w:t>most</w:t>
      </w:r>
      <w:r w:rsidRPr="00104BA4">
        <w:t xml:space="preserve"> economies </w:t>
      </w:r>
      <w:r w:rsidR="00000587" w:rsidRPr="00104BA4">
        <w:t>was</w:t>
      </w:r>
      <w:r w:rsidRPr="00104BA4">
        <w:t xml:space="preserve"> reasonably strong to withstand the shock, there were vulnerabilities </w:t>
      </w:r>
      <w:r w:rsidR="004665B5" w:rsidRPr="00104BA4">
        <w:t xml:space="preserve">that </w:t>
      </w:r>
      <w:r w:rsidRPr="00104BA4">
        <w:t xml:space="preserve">could </w:t>
      </w:r>
      <w:r w:rsidR="00000587" w:rsidRPr="00104BA4">
        <w:t xml:space="preserve">potentially </w:t>
      </w:r>
      <w:r w:rsidR="004665B5" w:rsidRPr="00104BA4">
        <w:t xml:space="preserve">have </w:t>
      </w:r>
      <w:r w:rsidR="00000587" w:rsidRPr="00104BA4">
        <w:t xml:space="preserve">spiralled out of control. </w:t>
      </w:r>
      <w:r w:rsidR="005746BC" w:rsidRPr="00104BA4">
        <w:t>For example</w:t>
      </w:r>
      <w:r w:rsidR="00956766" w:rsidRPr="00104BA4">
        <w:t>,</w:t>
      </w:r>
      <w:r w:rsidR="00D211D7" w:rsidRPr="00104BA4">
        <w:t xml:space="preserve"> </w:t>
      </w:r>
      <w:r w:rsidR="00347EFE">
        <w:t>the ‘capital adequacy r</w:t>
      </w:r>
      <w:r w:rsidR="005746BC" w:rsidRPr="00104BA4">
        <w:t>atio</w:t>
      </w:r>
      <w:r w:rsidR="00347EFE">
        <w:t>’</w:t>
      </w:r>
      <w:r w:rsidR="005746BC" w:rsidRPr="00104BA4">
        <w:t xml:space="preserve"> (CAR) was </w:t>
      </w:r>
      <w:r w:rsidR="007E68BC" w:rsidRPr="00104BA4">
        <w:t xml:space="preserve">significantly </w:t>
      </w:r>
      <w:r w:rsidR="005746BC" w:rsidRPr="00104BA4">
        <w:t>above the regulatory minimum of 8%</w:t>
      </w:r>
      <w:r w:rsidR="00956766" w:rsidRPr="00104BA4">
        <w:t xml:space="preserve"> for most South East Asian economies – the highest for Cambodia at 20% and the lowest for Vietnam at 9.4% (</w:t>
      </w:r>
      <w:hyperlink r:id="rId25" w:history="1">
        <w:r w:rsidR="00956766" w:rsidRPr="00104BA4">
          <w:rPr>
            <w:rStyle w:val="Hyperlink"/>
          </w:rPr>
          <w:t>OECD, 2021</w:t>
        </w:r>
      </w:hyperlink>
      <w:r w:rsidR="00956766" w:rsidRPr="00104BA4">
        <w:t>).</w:t>
      </w:r>
      <w:r w:rsidR="009E55D6" w:rsidRPr="00104BA4">
        <w:t xml:space="preserve"> This was also true for </w:t>
      </w:r>
      <w:r w:rsidR="009B031E" w:rsidRPr="00104BA4">
        <w:t>developing</w:t>
      </w:r>
      <w:r w:rsidR="009E55D6" w:rsidRPr="00104BA4">
        <w:t xml:space="preserve"> economies across </w:t>
      </w:r>
      <w:r w:rsidR="00956766" w:rsidRPr="00104BA4">
        <w:t>Latin America.</w:t>
      </w:r>
      <w:r w:rsidR="00000587" w:rsidRPr="00104BA4">
        <w:t xml:space="preserve"> </w:t>
      </w:r>
    </w:p>
    <w:p w:rsidR="00873928" w:rsidRPr="00104BA4" w:rsidRDefault="005823A3" w:rsidP="00000587">
      <w:pPr>
        <w:spacing w:before="240"/>
      </w:pPr>
      <w:r w:rsidRPr="00104BA4">
        <w:t>Yet</w:t>
      </w:r>
      <w:r w:rsidR="00000587" w:rsidRPr="00104BA4">
        <w:t xml:space="preserve"> </w:t>
      </w:r>
      <w:r w:rsidR="005036B3" w:rsidRPr="00104BA4">
        <w:t xml:space="preserve">for several </w:t>
      </w:r>
      <w:r w:rsidR="00654967" w:rsidRPr="00104BA4">
        <w:t>of these</w:t>
      </w:r>
      <w:r w:rsidR="009B031E" w:rsidRPr="00104BA4">
        <w:t xml:space="preserve"> economies</w:t>
      </w:r>
      <w:r w:rsidR="005036B3" w:rsidRPr="00104BA4">
        <w:t xml:space="preserve">, </w:t>
      </w:r>
      <w:r w:rsidR="00000587" w:rsidRPr="00104BA4">
        <w:t xml:space="preserve">the liquid assets to short-term liabilities </w:t>
      </w:r>
      <w:r w:rsidR="00956766" w:rsidRPr="00104BA4">
        <w:t>was</w:t>
      </w:r>
      <w:r w:rsidR="00000587" w:rsidRPr="00104BA4">
        <w:t xml:space="preserve"> significantly less than the 100% </w:t>
      </w:r>
      <w:r w:rsidR="005036B3" w:rsidRPr="00104BA4">
        <w:t>recommended under Basel III</w:t>
      </w:r>
      <w:r w:rsidR="00000587" w:rsidRPr="00104BA4">
        <w:t xml:space="preserve">. </w:t>
      </w:r>
      <w:r w:rsidR="007D438E" w:rsidRPr="00104BA4">
        <w:t>As of 2019, t</w:t>
      </w:r>
      <w:r w:rsidR="00000587" w:rsidRPr="00104BA4">
        <w:t xml:space="preserve">he ratio was around 50% for </w:t>
      </w:r>
      <w:r w:rsidR="007D438E" w:rsidRPr="00104BA4">
        <w:t>Mexico, Colombia, Peru and Uruguay</w:t>
      </w:r>
      <w:r w:rsidR="00E3321D" w:rsidRPr="00104BA4">
        <w:t xml:space="preserve"> (</w:t>
      </w:r>
      <w:hyperlink r:id="rId26" w:history="1">
        <w:r w:rsidR="00E3321D" w:rsidRPr="00104BA4">
          <w:rPr>
            <w:rStyle w:val="Hyperlink"/>
          </w:rPr>
          <w:t>IMF, 2020</w:t>
        </w:r>
        <w:r w:rsidR="009219E4" w:rsidRPr="00104BA4">
          <w:rPr>
            <w:rStyle w:val="Hyperlink"/>
          </w:rPr>
          <w:t>c</w:t>
        </w:r>
      </w:hyperlink>
      <w:r w:rsidR="00E3321D" w:rsidRPr="00104BA4">
        <w:t>)</w:t>
      </w:r>
      <w:r w:rsidR="007D438E" w:rsidRPr="00104BA4">
        <w:t>.</w:t>
      </w:r>
      <w:r w:rsidR="00956766" w:rsidRPr="00104BA4">
        <w:t xml:space="preserve"> </w:t>
      </w:r>
      <w:r w:rsidR="00B57890" w:rsidRPr="00104BA4">
        <w:t>A l</w:t>
      </w:r>
      <w:r w:rsidR="005255D5" w:rsidRPr="00104BA4">
        <w:t xml:space="preserve">ower </w:t>
      </w:r>
      <w:r w:rsidR="00076C1A" w:rsidRPr="00104BA4">
        <w:t xml:space="preserve">liquidity </w:t>
      </w:r>
      <w:r w:rsidR="005255D5" w:rsidRPr="00104BA4">
        <w:t xml:space="preserve">ratio implies that banks are more likely to rely on borrowing from other institutions to meet their short-term liabilities. </w:t>
      </w:r>
      <w:r w:rsidR="001D02B0" w:rsidRPr="00104BA4">
        <w:t>As a result, in an event like Covid-19,</w:t>
      </w:r>
      <w:r w:rsidR="005255D5" w:rsidRPr="00104BA4">
        <w:t xml:space="preserve"> lack of willingness on</w:t>
      </w:r>
      <w:r w:rsidR="00654967" w:rsidRPr="00104BA4">
        <w:t xml:space="preserve"> the</w:t>
      </w:r>
      <w:r w:rsidR="005255D5" w:rsidRPr="00104BA4">
        <w:t xml:space="preserve"> part of financial institutions to lend to each other can adversely affect banks</w:t>
      </w:r>
      <w:r w:rsidR="00220134" w:rsidRPr="00104BA4">
        <w:t>’</w:t>
      </w:r>
      <w:r w:rsidR="005255D5" w:rsidRPr="00104BA4">
        <w:t xml:space="preserve"> ability to meet their liabilities</w:t>
      </w:r>
      <w:r w:rsidR="00654967" w:rsidRPr="00104BA4">
        <w:t>,</w:t>
      </w:r>
      <w:r w:rsidR="00220134" w:rsidRPr="00104BA4">
        <w:t xml:space="preserve"> thus exacerbating the crisis.</w:t>
      </w:r>
    </w:p>
    <w:p w:rsidR="009B031E" w:rsidRPr="00104BA4" w:rsidRDefault="00FA10B6" w:rsidP="009B031E">
      <w:pPr>
        <w:spacing w:before="240"/>
      </w:pPr>
      <w:r w:rsidRPr="00104BA4">
        <w:t>Against</w:t>
      </w:r>
      <w:r w:rsidR="009B031E" w:rsidRPr="00104BA4">
        <w:t xml:space="preserve"> this backdrop, the policy measures mentioned above, among many others, have been critical in ensuring that national banking systems have enough liquidity to facilitate real economic activity and that banks’ balance sheets remain insulated from the Covid-19 shock (</w:t>
      </w:r>
      <w:hyperlink r:id="rId27" w:history="1">
        <w:r w:rsidR="009B031E" w:rsidRPr="00104BA4">
          <w:rPr>
            <w:rStyle w:val="Hyperlink"/>
          </w:rPr>
          <w:t>VoxEU e-book, 2021</w:t>
        </w:r>
      </w:hyperlink>
      <w:r w:rsidR="009B031E" w:rsidRPr="00104BA4">
        <w:t>).</w:t>
      </w:r>
    </w:p>
    <w:p w:rsidR="00BD0165" w:rsidRPr="00104BA4" w:rsidRDefault="00944A62" w:rsidP="00A246F8">
      <w:pPr>
        <w:pStyle w:val="Heading1"/>
        <w:spacing w:after="240"/>
      </w:pPr>
      <w:r w:rsidRPr="00104BA4">
        <w:t xml:space="preserve">The trade-off: a </w:t>
      </w:r>
      <w:r w:rsidR="0032504B" w:rsidRPr="00104BA4">
        <w:t>‘</w:t>
      </w:r>
      <w:r w:rsidRPr="00104BA4">
        <w:t>dance of death</w:t>
      </w:r>
      <w:r w:rsidR="0032504B" w:rsidRPr="00104BA4">
        <w:t>’</w:t>
      </w:r>
    </w:p>
    <w:p w:rsidR="00654967" w:rsidRPr="00104BA4" w:rsidRDefault="00701C39" w:rsidP="001C5012">
      <w:r w:rsidRPr="00104BA4">
        <w:t>Despite an arguably impressive policy response</w:t>
      </w:r>
      <w:r w:rsidR="00C24607" w:rsidRPr="00104BA4">
        <w:t>,</w:t>
      </w:r>
      <w:r w:rsidRPr="00104BA4">
        <w:t xml:space="preserve"> which</w:t>
      </w:r>
      <w:r w:rsidR="003703B2" w:rsidRPr="00104BA4">
        <w:t xml:space="preserve"> kept their financial systems intact and</w:t>
      </w:r>
      <w:r w:rsidRPr="00104BA4">
        <w:t xml:space="preserve"> prevented macroeconomic conditions from worsening further, </w:t>
      </w:r>
      <w:r w:rsidR="00BF7A00" w:rsidRPr="00104BA4">
        <w:t>several</w:t>
      </w:r>
      <w:r w:rsidRPr="00104BA4">
        <w:t xml:space="preserve"> </w:t>
      </w:r>
      <w:r w:rsidR="008D5B3F" w:rsidRPr="00104BA4">
        <w:t>developing countries</w:t>
      </w:r>
      <w:r w:rsidR="003D75C4" w:rsidRPr="00104BA4">
        <w:t xml:space="preserve"> fell short on dealing with the public health crisis.</w:t>
      </w:r>
      <w:r w:rsidR="003703B2" w:rsidRPr="00104BA4">
        <w:t xml:space="preserve"> </w:t>
      </w:r>
    </w:p>
    <w:p w:rsidR="001E7D49" w:rsidRPr="00104BA4" w:rsidRDefault="004008E1" w:rsidP="001C5012">
      <w:r w:rsidRPr="00104BA4">
        <w:t>After the United States, India and Brazil have seen the highe</w:t>
      </w:r>
      <w:r w:rsidR="003D085D" w:rsidRPr="00104BA4">
        <w:t>st</w:t>
      </w:r>
      <w:r w:rsidRPr="00104BA4">
        <w:t xml:space="preserve"> number of C</w:t>
      </w:r>
      <w:r w:rsidR="005823A3" w:rsidRPr="00104BA4">
        <w:t>ovid-19</w:t>
      </w:r>
      <w:r w:rsidRPr="00104BA4">
        <w:t xml:space="preserve"> cases and deaths since the pandemic started.</w:t>
      </w:r>
      <w:r w:rsidR="003D085D" w:rsidRPr="00104BA4">
        <w:t xml:space="preserve"> The number of </w:t>
      </w:r>
      <w:r w:rsidR="003064BE" w:rsidRPr="00104BA4">
        <w:rPr>
          <w:i/>
          <w:iCs/>
        </w:rPr>
        <w:t>new</w:t>
      </w:r>
      <w:r w:rsidR="003D085D" w:rsidRPr="00104BA4">
        <w:t xml:space="preserve"> cases and deaths are </w:t>
      </w:r>
      <w:r w:rsidR="00D263F8" w:rsidRPr="00104BA4">
        <w:t>also among the</w:t>
      </w:r>
      <w:r w:rsidR="003D085D" w:rsidRPr="00104BA4">
        <w:t xml:space="preserve"> highest for these two countries.</w:t>
      </w:r>
      <w:r w:rsidRPr="00104BA4">
        <w:t xml:space="preserve"> </w:t>
      </w:r>
      <w:r w:rsidR="00D263F8" w:rsidRPr="00104BA4">
        <w:t>At the time of writing this article, r</w:t>
      </w:r>
      <w:r w:rsidRPr="00104BA4">
        <w:t>eported deaths for every million people</w:t>
      </w:r>
      <w:r w:rsidR="00750950" w:rsidRPr="00104BA4">
        <w:t>, since the pandemic</w:t>
      </w:r>
      <w:r w:rsidR="00553744" w:rsidRPr="00104BA4">
        <w:t xml:space="preserve"> started</w:t>
      </w:r>
      <w:r w:rsidR="00750950" w:rsidRPr="00104BA4">
        <w:t>,</w:t>
      </w:r>
      <w:r w:rsidRPr="00104BA4">
        <w:t xml:space="preserve"> are </w:t>
      </w:r>
      <w:r w:rsidR="007B6583" w:rsidRPr="00104BA4">
        <w:t xml:space="preserve">the </w:t>
      </w:r>
      <w:r w:rsidR="00D263F8" w:rsidRPr="00104BA4">
        <w:t xml:space="preserve">highest for Peru, </w:t>
      </w:r>
      <w:r w:rsidR="007B6583" w:rsidRPr="00104BA4">
        <w:t>1</w:t>
      </w:r>
      <w:r w:rsidR="00D263F8" w:rsidRPr="00104BA4">
        <w:t>0</w:t>
      </w:r>
      <w:r w:rsidR="007B6583" w:rsidRPr="00104BA4">
        <w:rPr>
          <w:vertAlign w:val="superscript"/>
        </w:rPr>
        <w:t>th</w:t>
      </w:r>
      <w:r w:rsidR="007B6583" w:rsidRPr="00104BA4">
        <w:t xml:space="preserve"> highest for Brazil, </w:t>
      </w:r>
      <w:r w:rsidR="00D263F8" w:rsidRPr="00104BA4">
        <w:t>16</w:t>
      </w:r>
      <w:r w:rsidR="00D263F8" w:rsidRPr="00104BA4">
        <w:rPr>
          <w:vertAlign w:val="superscript"/>
        </w:rPr>
        <w:t>th</w:t>
      </w:r>
      <w:r w:rsidR="00D263F8" w:rsidRPr="00104BA4">
        <w:t xml:space="preserve"> </w:t>
      </w:r>
      <w:r w:rsidR="007B6583" w:rsidRPr="00104BA4">
        <w:t>for Colombia</w:t>
      </w:r>
      <w:r w:rsidR="00D263F8" w:rsidRPr="00104BA4">
        <w:t>, 21</w:t>
      </w:r>
      <w:r w:rsidR="00D263F8" w:rsidRPr="00104BA4">
        <w:rPr>
          <w:vertAlign w:val="superscript"/>
        </w:rPr>
        <w:t>st</w:t>
      </w:r>
      <w:r w:rsidR="00D263F8" w:rsidRPr="00104BA4">
        <w:t xml:space="preserve"> for Mexico and 27</w:t>
      </w:r>
      <w:r w:rsidR="00D263F8" w:rsidRPr="00104BA4">
        <w:rPr>
          <w:vertAlign w:val="superscript"/>
        </w:rPr>
        <w:t>th</w:t>
      </w:r>
      <w:r w:rsidR="00D263F8" w:rsidRPr="00104BA4">
        <w:t xml:space="preserve"> for Chile </w:t>
      </w:r>
      <w:r w:rsidR="00D64FB6" w:rsidRPr="00104BA4">
        <w:t>(</w:t>
      </w:r>
      <w:hyperlink r:id="rId28" w:anchor="countries" w:history="1">
        <w:r w:rsidR="00D64FB6" w:rsidRPr="00104BA4">
          <w:rPr>
            <w:rStyle w:val="Hyperlink"/>
          </w:rPr>
          <w:t>worldometer</w:t>
        </w:r>
      </w:hyperlink>
      <w:r w:rsidR="00D64FB6" w:rsidRPr="00104BA4">
        <w:t>)</w:t>
      </w:r>
      <w:r w:rsidR="007B6583" w:rsidRPr="00104BA4">
        <w:t>.</w:t>
      </w:r>
      <w:r w:rsidR="003D085D" w:rsidRPr="00104BA4">
        <w:t xml:space="preserve"> </w:t>
      </w:r>
    </w:p>
    <w:p w:rsidR="00FF7BC7" w:rsidRPr="00104BA4" w:rsidRDefault="009E4C9D" w:rsidP="001C5012">
      <w:r>
        <w:t xml:space="preserve">But </w:t>
      </w:r>
      <w:r w:rsidR="008D5B3F" w:rsidRPr="00104BA4">
        <w:t>u</w:t>
      </w:r>
      <w:r w:rsidR="000D5C02" w:rsidRPr="00104BA4">
        <w:t xml:space="preserve">nlike </w:t>
      </w:r>
      <w:r w:rsidR="00CC6BA5" w:rsidRPr="00104BA4">
        <w:t xml:space="preserve">most </w:t>
      </w:r>
      <w:r w:rsidR="000D5C02" w:rsidRPr="00104BA4">
        <w:t>governments in advance</w:t>
      </w:r>
      <w:r w:rsidR="005823A3" w:rsidRPr="00104BA4">
        <w:t>d</w:t>
      </w:r>
      <w:r w:rsidR="000D5C02" w:rsidRPr="00104BA4">
        <w:t xml:space="preserve"> economies, </w:t>
      </w:r>
      <w:r w:rsidR="00615600" w:rsidRPr="00104BA4">
        <w:t>governments</w:t>
      </w:r>
      <w:r w:rsidR="009019DC" w:rsidRPr="00104BA4">
        <w:t xml:space="preserve"> </w:t>
      </w:r>
      <w:r w:rsidR="00935015" w:rsidRPr="00104BA4">
        <w:t>in developing economies</w:t>
      </w:r>
      <w:r w:rsidR="00B70ECB" w:rsidRPr="00104BA4">
        <w:t xml:space="preserve"> have hesitated in implementing nationwide lockdowns.</w:t>
      </w:r>
      <w:r w:rsidR="00935015" w:rsidRPr="00104BA4">
        <w:t xml:space="preserve"> </w:t>
      </w:r>
      <w:r w:rsidR="00CC6BA5" w:rsidRPr="00104BA4">
        <w:t>Even where the pandemic has been dealt with effectively, it has most often been achieved on the back of state capacity to implement track-and-trace</w:t>
      </w:r>
      <w:r w:rsidR="00330893" w:rsidRPr="00104BA4">
        <w:t xml:space="preserve"> </w:t>
      </w:r>
      <w:r w:rsidR="00654967" w:rsidRPr="00104BA4">
        <w:t>successfully</w:t>
      </w:r>
      <w:r w:rsidR="00CC6BA5" w:rsidRPr="00104BA4">
        <w:t xml:space="preserve">, combined with localised </w:t>
      </w:r>
      <w:r w:rsidR="002679A1" w:rsidRPr="00104BA4">
        <w:t>interventions</w:t>
      </w:r>
      <w:r w:rsidR="00CC6BA5" w:rsidRPr="00104BA4">
        <w:t xml:space="preserve"> (</w:t>
      </w:r>
      <w:r w:rsidR="00654967" w:rsidRPr="00104BA4">
        <w:t>as in</w:t>
      </w:r>
      <w:r w:rsidR="00CC6BA5" w:rsidRPr="00104BA4">
        <w:t xml:space="preserve"> South Korea, Taiwan </w:t>
      </w:r>
      <w:r w:rsidR="002679A1" w:rsidRPr="00104BA4">
        <w:t xml:space="preserve">and </w:t>
      </w:r>
      <w:r w:rsidR="00CC6BA5" w:rsidRPr="00104BA4">
        <w:t>Vietna</w:t>
      </w:r>
      <w:r w:rsidR="002679A1" w:rsidRPr="00104BA4">
        <w:t>m, among others</w:t>
      </w:r>
      <w:r w:rsidR="00E46901" w:rsidRPr="00104BA4">
        <w:t>)</w:t>
      </w:r>
      <w:r w:rsidR="00CC6BA5" w:rsidRPr="00104BA4">
        <w:t xml:space="preserve">. </w:t>
      </w:r>
    </w:p>
    <w:p w:rsidR="00967564" w:rsidRPr="00104BA4" w:rsidRDefault="005823A3" w:rsidP="001C5012">
      <w:r w:rsidRPr="00104BA4">
        <w:t>This</w:t>
      </w:r>
      <w:r w:rsidR="00944A62" w:rsidRPr="00104BA4">
        <w:t xml:space="preserve"> difference in policy response to the public health crisis across developing and developed economies </w:t>
      </w:r>
      <w:r w:rsidRPr="00104BA4">
        <w:t>can</w:t>
      </w:r>
      <w:r w:rsidR="00944A62" w:rsidRPr="00104BA4">
        <w:t xml:space="preserve"> arguably</w:t>
      </w:r>
      <w:r w:rsidRPr="00104BA4">
        <w:t xml:space="preserve"> be explained</w:t>
      </w:r>
      <w:r w:rsidR="00527873" w:rsidRPr="00104BA4">
        <w:t xml:space="preserve"> by</w:t>
      </w:r>
      <w:r w:rsidR="00944A62" w:rsidRPr="00104BA4">
        <w:t xml:space="preserve"> the degree of informality.</w:t>
      </w:r>
      <w:r w:rsidR="00B63935" w:rsidRPr="00104BA4">
        <w:t xml:space="preserve"> </w:t>
      </w:r>
      <w:r w:rsidR="002679A1" w:rsidRPr="00104BA4">
        <w:t xml:space="preserve">For example, according to </w:t>
      </w:r>
      <w:hyperlink r:id="rId29" w:history="1">
        <w:r w:rsidR="002679A1" w:rsidRPr="00104BA4">
          <w:rPr>
            <w:rStyle w:val="Hyperlink"/>
          </w:rPr>
          <w:t>data</w:t>
        </w:r>
      </w:hyperlink>
      <w:r w:rsidR="002679A1" w:rsidRPr="00104BA4">
        <w:t xml:space="preserve"> </w:t>
      </w:r>
      <w:r w:rsidR="00330893" w:rsidRPr="00104BA4">
        <w:t>from the</w:t>
      </w:r>
      <w:r w:rsidR="00D93A51" w:rsidRPr="00104BA4">
        <w:t xml:space="preserve"> International Labo</w:t>
      </w:r>
      <w:r w:rsidR="005170E8">
        <w:t>u</w:t>
      </w:r>
      <w:r w:rsidR="00D93A51" w:rsidRPr="00104BA4">
        <w:t>r Organization</w:t>
      </w:r>
      <w:r w:rsidR="00330893" w:rsidRPr="00104BA4">
        <w:t xml:space="preserve"> </w:t>
      </w:r>
      <w:r w:rsidR="00D93A51" w:rsidRPr="00104BA4">
        <w:t>(</w:t>
      </w:r>
      <w:r w:rsidR="002679A1" w:rsidRPr="00104BA4">
        <w:t>ILO</w:t>
      </w:r>
      <w:r w:rsidR="00D93A51" w:rsidRPr="00104BA4">
        <w:t>)</w:t>
      </w:r>
      <w:r w:rsidR="002679A1" w:rsidRPr="00104BA4">
        <w:t>, the share of informal employment stands at around 80% for almost all South East Asian economies, excluding China</w:t>
      </w:r>
      <w:r w:rsidR="008D5B3F" w:rsidRPr="00104BA4">
        <w:t>’s</w:t>
      </w:r>
      <w:r w:rsidR="002679A1" w:rsidRPr="00104BA4">
        <w:t xml:space="preserve"> </w:t>
      </w:r>
      <w:r w:rsidRPr="00104BA4">
        <w:t>at</w:t>
      </w:r>
      <w:r w:rsidR="002679A1" w:rsidRPr="00104BA4">
        <w:t xml:space="preserve"> 54.4%. </w:t>
      </w:r>
      <w:r w:rsidR="00A174A6" w:rsidRPr="00104BA4">
        <w:t>This number is lower for Latin American countries</w:t>
      </w:r>
      <w:r w:rsidR="009019DC" w:rsidRPr="00104BA4">
        <w:t>,</w:t>
      </w:r>
      <w:r w:rsidR="00A174A6" w:rsidRPr="00104BA4">
        <w:t xml:space="preserve"> but </w:t>
      </w:r>
      <w:r w:rsidR="009019DC" w:rsidRPr="00104BA4">
        <w:t xml:space="preserve">it </w:t>
      </w:r>
      <w:r w:rsidR="00A174A6" w:rsidRPr="00104BA4">
        <w:t>is still considerably higher than for advance</w:t>
      </w:r>
      <w:r w:rsidR="00D6130D" w:rsidRPr="00104BA4">
        <w:t>d</w:t>
      </w:r>
      <w:r w:rsidR="00A174A6" w:rsidRPr="00104BA4">
        <w:t xml:space="preserve"> economies.</w:t>
      </w:r>
      <w:r w:rsidR="00352C67" w:rsidRPr="00104BA4">
        <w:t xml:space="preserve"> </w:t>
      </w:r>
    </w:p>
    <w:p w:rsidR="009019DC" w:rsidRPr="00104BA4" w:rsidRDefault="00352C67" w:rsidP="00521995">
      <w:r w:rsidRPr="00104BA4">
        <w:t xml:space="preserve">While </w:t>
      </w:r>
      <w:r w:rsidR="002A4218" w:rsidRPr="00104BA4">
        <w:t xml:space="preserve">official data are not available, </w:t>
      </w:r>
      <w:r w:rsidR="00BC009A" w:rsidRPr="00104BA4">
        <w:t>news reports</w:t>
      </w:r>
      <w:r w:rsidR="00F60E58" w:rsidRPr="00104BA4">
        <w:t xml:space="preserve">, </w:t>
      </w:r>
      <w:r w:rsidR="00E7049C" w:rsidRPr="00104BA4">
        <w:t>publications by national bodies</w:t>
      </w:r>
      <w:r w:rsidR="00F60E58" w:rsidRPr="00104BA4">
        <w:t xml:space="preserve"> and </w:t>
      </w:r>
      <w:r w:rsidR="002A4218" w:rsidRPr="00104BA4">
        <w:t>anecdotal evidence indicate that it</w:t>
      </w:r>
      <w:r w:rsidR="00967564" w:rsidRPr="00104BA4">
        <w:t xml:space="preserve"> is likely </w:t>
      </w:r>
      <w:r w:rsidRPr="00104BA4">
        <w:t xml:space="preserve">that this </w:t>
      </w:r>
      <w:r w:rsidR="00BC009A" w:rsidRPr="00104BA4">
        <w:t>pattern is</w:t>
      </w:r>
      <w:r w:rsidRPr="00104BA4">
        <w:t xml:space="preserve"> also true for businesses</w:t>
      </w:r>
      <w:r w:rsidR="009019DC" w:rsidRPr="00104BA4">
        <w:t>.</w:t>
      </w:r>
    </w:p>
    <w:p w:rsidR="00BD0165" w:rsidRPr="00104BA4" w:rsidRDefault="00BC009A" w:rsidP="00521995">
      <w:r w:rsidRPr="00104BA4">
        <w:t xml:space="preserve">For example, in Pakistan, there are close to </w:t>
      </w:r>
      <w:r w:rsidR="00C24607" w:rsidRPr="00104BA4">
        <w:t xml:space="preserve">four </w:t>
      </w:r>
      <w:r w:rsidRPr="00104BA4">
        <w:t xml:space="preserve">million commercial </w:t>
      </w:r>
      <w:r w:rsidR="00E7049C" w:rsidRPr="00104BA4">
        <w:t xml:space="preserve">and industrial </w:t>
      </w:r>
      <w:r w:rsidRPr="00104BA4">
        <w:t>electricity connections</w:t>
      </w:r>
      <w:r w:rsidR="00E7049C" w:rsidRPr="00104BA4">
        <w:t xml:space="preserve"> (</w:t>
      </w:r>
      <w:r w:rsidR="00187123" w:rsidRPr="00104BA4">
        <w:t xml:space="preserve">National Electric Power Regulatory Authority, </w:t>
      </w:r>
      <w:hyperlink r:id="rId30" w:history="1">
        <w:r w:rsidR="00E7049C" w:rsidRPr="00104BA4">
          <w:rPr>
            <w:rStyle w:val="Hyperlink"/>
          </w:rPr>
          <w:t>NEPRA, 2020</w:t>
        </w:r>
      </w:hyperlink>
      <w:r w:rsidR="00E7049C" w:rsidRPr="00104BA4">
        <w:t>)</w:t>
      </w:r>
      <w:r w:rsidRPr="00104BA4">
        <w:t>.</w:t>
      </w:r>
      <w:r w:rsidR="00BB641C" w:rsidRPr="00104BA4">
        <w:t xml:space="preserve"> </w:t>
      </w:r>
      <w:r w:rsidR="00D93A51" w:rsidRPr="00104BA4">
        <w:t>But</w:t>
      </w:r>
      <w:r w:rsidR="00521995" w:rsidRPr="00104BA4">
        <w:t xml:space="preserve"> </w:t>
      </w:r>
      <w:r w:rsidR="00D93A51" w:rsidRPr="00104BA4">
        <w:t xml:space="preserve">the </w:t>
      </w:r>
      <w:r w:rsidR="00521995" w:rsidRPr="00104BA4">
        <w:t xml:space="preserve">total number of companies and association of persons (AOP) </w:t>
      </w:r>
      <w:r w:rsidR="00D93A51" w:rsidRPr="00104BA4">
        <w:t>that</w:t>
      </w:r>
      <w:r w:rsidR="00521995" w:rsidRPr="00104BA4">
        <w:t xml:space="preserve"> filed income tax return</w:t>
      </w:r>
      <w:r w:rsidR="00D93A51" w:rsidRPr="00104BA4">
        <w:t>s</w:t>
      </w:r>
      <w:r w:rsidR="00521995" w:rsidRPr="00104BA4">
        <w:t xml:space="preserve"> in 2018 accounted for only slightly more than one-tenth of a million, suggesting </w:t>
      </w:r>
      <w:r w:rsidR="009019DC" w:rsidRPr="00104BA4">
        <w:t xml:space="preserve">a </w:t>
      </w:r>
      <w:r w:rsidR="00521995" w:rsidRPr="00104BA4">
        <w:t>high degree of informality even across firms</w:t>
      </w:r>
      <w:r w:rsidR="00D93A51" w:rsidRPr="00104BA4">
        <w:t xml:space="preserve"> (</w:t>
      </w:r>
      <w:r w:rsidR="00187123" w:rsidRPr="00104BA4">
        <w:t xml:space="preserve">Federal Board of Revenue, </w:t>
      </w:r>
      <w:hyperlink r:id="rId31" w:history="1">
        <w:r w:rsidR="00D93A51" w:rsidRPr="00104BA4">
          <w:rPr>
            <w:rStyle w:val="Hyperlink"/>
          </w:rPr>
          <w:t>FBR, 2018</w:t>
        </w:r>
      </w:hyperlink>
      <w:r w:rsidR="00D93A51" w:rsidRPr="00104BA4">
        <w:t>)</w:t>
      </w:r>
      <w:r w:rsidR="00521995" w:rsidRPr="00104BA4">
        <w:t>.</w:t>
      </w:r>
    </w:p>
    <w:p w:rsidR="00352C67" w:rsidRPr="00104BA4" w:rsidRDefault="00E31887" w:rsidP="001C5012">
      <w:r w:rsidRPr="00104BA4">
        <w:t xml:space="preserve">Other indicators </w:t>
      </w:r>
      <w:r w:rsidR="003C1A93" w:rsidRPr="00104BA4">
        <w:t>present further challenges</w:t>
      </w:r>
      <w:r w:rsidRPr="00104BA4">
        <w:t xml:space="preserve">. For example, </w:t>
      </w:r>
      <w:r w:rsidR="00352C67" w:rsidRPr="00104BA4">
        <w:t xml:space="preserve">a </w:t>
      </w:r>
      <w:hyperlink r:id="rId32" w:history="1">
        <w:r w:rsidR="00352C67" w:rsidRPr="00104BA4">
          <w:rPr>
            <w:rStyle w:val="Hyperlink"/>
          </w:rPr>
          <w:t>2017 World Bank report</w:t>
        </w:r>
      </w:hyperlink>
      <w:r w:rsidR="00352C67" w:rsidRPr="00104BA4">
        <w:t xml:space="preserve"> on financial inclusion shows that only 20% of the population in Pakistan has a bank account. In the case of India, w</w:t>
      </w:r>
      <w:r w:rsidR="00246FF6" w:rsidRPr="00104BA4">
        <w:t>hile</w:t>
      </w:r>
      <w:r w:rsidR="00352C67" w:rsidRPr="00104BA4">
        <w:t xml:space="preserve"> an impressive 80% had a bank account as of 2017, half of these were </w:t>
      </w:r>
      <w:r w:rsidR="00940577" w:rsidRPr="00104BA4">
        <w:t>in</w:t>
      </w:r>
      <w:r w:rsidR="00352C67" w:rsidRPr="00104BA4">
        <w:t>active. For developing countries as a whole, 60% of the population ha</w:t>
      </w:r>
      <w:r w:rsidR="00D93A51" w:rsidRPr="00104BA4">
        <w:t>ve</w:t>
      </w:r>
      <w:r w:rsidR="00352C67" w:rsidRPr="00104BA4">
        <w:t xml:space="preserve"> a bank account, </w:t>
      </w:r>
      <w:r w:rsidR="002A4218" w:rsidRPr="00104BA4">
        <w:t xml:space="preserve">but </w:t>
      </w:r>
      <w:r w:rsidR="00352C67" w:rsidRPr="00104BA4">
        <w:t>less than 10% ha</w:t>
      </w:r>
      <w:r w:rsidR="002A4218" w:rsidRPr="00104BA4">
        <w:t>ve</w:t>
      </w:r>
      <w:r w:rsidR="00352C67" w:rsidRPr="00104BA4">
        <w:t xml:space="preserve"> a credit card.</w:t>
      </w:r>
    </w:p>
    <w:p w:rsidR="00D534D8" w:rsidRPr="00104BA4" w:rsidRDefault="00F60E58" w:rsidP="001C5012">
      <w:r w:rsidRPr="00104BA4">
        <w:t xml:space="preserve">In contrast, </w:t>
      </w:r>
      <w:r w:rsidR="00D93A51" w:rsidRPr="00104BA4">
        <w:t xml:space="preserve">a </w:t>
      </w:r>
      <w:r w:rsidRPr="00104BA4">
        <w:t>high</w:t>
      </w:r>
      <w:r w:rsidR="00940577" w:rsidRPr="00104BA4">
        <w:t xml:space="preserve"> </w:t>
      </w:r>
      <w:r w:rsidRPr="00104BA4">
        <w:t xml:space="preserve">degree of financial inclusion and </w:t>
      </w:r>
      <w:r w:rsidR="00BB641C" w:rsidRPr="00104BA4">
        <w:t>a</w:t>
      </w:r>
      <w:r w:rsidR="00D93A51" w:rsidRPr="00104BA4">
        <w:t xml:space="preserve"> </w:t>
      </w:r>
      <w:r w:rsidRPr="00104BA4">
        <w:t>lower</w:t>
      </w:r>
      <w:r w:rsidR="00940577" w:rsidRPr="00104BA4">
        <w:t xml:space="preserve"> degree of</w:t>
      </w:r>
      <w:r w:rsidRPr="00104BA4">
        <w:t xml:space="preserve"> informality allows governments in </w:t>
      </w:r>
      <w:r w:rsidR="00D758E3" w:rsidRPr="00104BA4">
        <w:t>advanced economies</w:t>
      </w:r>
      <w:r w:rsidRPr="00104BA4">
        <w:t xml:space="preserve"> to</w:t>
      </w:r>
      <w:r w:rsidR="00035E27" w:rsidRPr="00104BA4">
        <w:t xml:space="preserve"> </w:t>
      </w:r>
      <w:r w:rsidR="007F76C0" w:rsidRPr="00104BA4">
        <w:t>use a combination of direct subsidies,</w:t>
      </w:r>
      <w:r w:rsidR="00BB641C" w:rsidRPr="00104BA4">
        <w:t xml:space="preserve"> tax cuts, cash transfers</w:t>
      </w:r>
      <w:r w:rsidR="007F76C0" w:rsidRPr="00104BA4">
        <w:t xml:space="preserve"> and employment guarantees to </w:t>
      </w:r>
      <w:r w:rsidRPr="00104BA4">
        <w:t>insulate their citizen</w:t>
      </w:r>
      <w:r w:rsidR="007F76C0" w:rsidRPr="00104BA4">
        <w:t xml:space="preserve"> and businesses</w:t>
      </w:r>
      <w:r w:rsidRPr="00104BA4">
        <w:t xml:space="preserve"> </w:t>
      </w:r>
      <w:r w:rsidR="00BB641C" w:rsidRPr="00104BA4">
        <w:t xml:space="preserve">directly </w:t>
      </w:r>
      <w:r w:rsidRPr="00104BA4">
        <w:t xml:space="preserve">from </w:t>
      </w:r>
      <w:r w:rsidR="007F76C0" w:rsidRPr="00104BA4">
        <w:t xml:space="preserve">adverse </w:t>
      </w:r>
      <w:r w:rsidRPr="00104BA4">
        <w:t xml:space="preserve">shocks </w:t>
      </w:r>
      <w:r w:rsidR="00035E27" w:rsidRPr="00104BA4">
        <w:t>even when economic activity come</w:t>
      </w:r>
      <w:r w:rsidR="007F76C0" w:rsidRPr="00104BA4">
        <w:t>s</w:t>
      </w:r>
      <w:r w:rsidR="00035E27" w:rsidRPr="00104BA4">
        <w:t xml:space="preserve"> to a near standstill.</w:t>
      </w:r>
    </w:p>
    <w:p w:rsidR="00E31887" w:rsidRPr="00104BA4" w:rsidRDefault="00035E27" w:rsidP="008B553C">
      <w:r w:rsidRPr="00104BA4">
        <w:t xml:space="preserve">To put this in perspective, 30% of </w:t>
      </w:r>
      <w:r w:rsidR="006365DC" w:rsidRPr="00104BA4">
        <w:t>the UK’s</w:t>
      </w:r>
      <w:r w:rsidRPr="00104BA4">
        <w:t xml:space="preserve"> workforce was on furlough during the first half of 2020 (</w:t>
      </w:r>
      <w:r w:rsidR="00C24607" w:rsidRPr="00104BA4">
        <w:t>Office for National Statistics</w:t>
      </w:r>
      <w:r w:rsidR="00382CFD" w:rsidRPr="00104BA4">
        <w:t>,</w:t>
      </w:r>
      <w:r w:rsidR="00C24607" w:rsidRPr="00104BA4">
        <w:t xml:space="preserve"> </w:t>
      </w:r>
      <w:hyperlink r:id="rId33" w:history="1">
        <w:r w:rsidRPr="00104BA4">
          <w:rPr>
            <w:rStyle w:val="Hyperlink"/>
          </w:rPr>
          <w:t>ONS, 2021</w:t>
        </w:r>
      </w:hyperlink>
      <w:r w:rsidRPr="00104BA4">
        <w:t xml:space="preserve">). </w:t>
      </w:r>
      <w:r w:rsidR="00A24378" w:rsidRPr="00104BA4">
        <w:t>L</w:t>
      </w:r>
      <w:r w:rsidRPr="00104BA4">
        <w:t xml:space="preserve">eaving aside fiscal considerations, </w:t>
      </w:r>
      <w:r w:rsidR="002A4218" w:rsidRPr="00104BA4">
        <w:t xml:space="preserve">a </w:t>
      </w:r>
      <w:r w:rsidR="0071313B" w:rsidRPr="00104BA4">
        <w:t xml:space="preserve">mere </w:t>
      </w:r>
      <w:r w:rsidRPr="00104BA4">
        <w:t xml:space="preserve">20% of the total labour force in many developing economies </w:t>
      </w:r>
      <w:r w:rsidR="0071313B" w:rsidRPr="00104BA4">
        <w:t xml:space="preserve">even </w:t>
      </w:r>
      <w:r w:rsidRPr="00104BA4">
        <w:t>works in formal employment and</w:t>
      </w:r>
      <w:r w:rsidR="00A24378" w:rsidRPr="00104BA4">
        <w:t xml:space="preserve"> could</w:t>
      </w:r>
      <w:r w:rsidR="00F32978" w:rsidRPr="00104BA4">
        <w:t xml:space="preserve"> potentially benefit from a similar scheme. </w:t>
      </w:r>
      <w:r w:rsidR="00D93A51" w:rsidRPr="00104BA4">
        <w:t>In addition</w:t>
      </w:r>
      <w:r w:rsidR="00F32978" w:rsidRPr="00104BA4">
        <w:t>, those in formal employment are</w:t>
      </w:r>
      <w:r w:rsidR="00734192" w:rsidRPr="00104BA4">
        <w:t xml:space="preserve"> </w:t>
      </w:r>
      <w:r w:rsidR="00A00D4D" w:rsidRPr="00104BA4">
        <w:t xml:space="preserve">also </w:t>
      </w:r>
      <w:r w:rsidR="00734192" w:rsidRPr="00104BA4">
        <w:t xml:space="preserve">generally less vulnerable than those working in informal </w:t>
      </w:r>
      <w:r w:rsidR="00D93A51" w:rsidRPr="00104BA4">
        <w:t>settings</w:t>
      </w:r>
      <w:r w:rsidR="00734192" w:rsidRPr="00104BA4">
        <w:t>.</w:t>
      </w:r>
    </w:p>
    <w:p w:rsidR="004A21EB" w:rsidRPr="00104BA4" w:rsidRDefault="004A21EB" w:rsidP="004A21EB">
      <w:r w:rsidRPr="00104BA4">
        <w:t>Despite these challenges, most governments in the developing world have implemented social protection program</w:t>
      </w:r>
      <w:r w:rsidR="009E4C9D">
        <w:t>me</w:t>
      </w:r>
      <w:r w:rsidRPr="00104BA4">
        <w:t xml:space="preserve">s in the face of Covid-19. </w:t>
      </w:r>
      <w:r w:rsidR="009E4C9D">
        <w:t xml:space="preserve">But </w:t>
      </w:r>
      <w:r w:rsidR="00270451" w:rsidRPr="00104BA4">
        <w:t>most such program</w:t>
      </w:r>
      <w:r w:rsidR="009E4C9D">
        <w:t>me</w:t>
      </w:r>
      <w:r w:rsidR="00270451" w:rsidRPr="00104BA4">
        <w:t xml:space="preserve">s continue to cover only a small fraction of their country’s population. </w:t>
      </w:r>
      <w:r w:rsidRPr="00104BA4">
        <w:t>For example, out of 141 program</w:t>
      </w:r>
      <w:r w:rsidR="009E4C9D">
        <w:t>me</w:t>
      </w:r>
      <w:r w:rsidRPr="00104BA4">
        <w:t>s for which relevant data are available, only 20 cover more than 40% of their respective populations (</w:t>
      </w:r>
      <w:hyperlink r:id="rId34" w:history="1">
        <w:r w:rsidRPr="00104BA4">
          <w:rPr>
            <w:rStyle w:val="Hyperlink"/>
          </w:rPr>
          <w:t>World Bank, 2021</w:t>
        </w:r>
      </w:hyperlink>
      <w:r w:rsidRPr="00104BA4">
        <w:t xml:space="preserve">). </w:t>
      </w:r>
    </w:p>
    <w:p w:rsidR="004A21EB" w:rsidRPr="00104BA4" w:rsidRDefault="004A21EB" w:rsidP="004A21EB">
      <w:r w:rsidRPr="00104BA4">
        <w:t xml:space="preserve">Moreover, </w:t>
      </w:r>
      <w:r w:rsidR="00941766" w:rsidRPr="00104BA4">
        <w:t xml:space="preserve">even </w:t>
      </w:r>
      <w:r w:rsidRPr="00104BA4">
        <w:t>t</w:t>
      </w:r>
      <w:r w:rsidR="009E4C9D">
        <w:t>ho</w:t>
      </w:r>
      <w:r w:rsidRPr="00104BA4">
        <w:t>se 20 program</w:t>
      </w:r>
      <w:r w:rsidR="009E4C9D">
        <w:t>me</w:t>
      </w:r>
      <w:r w:rsidRPr="00104BA4">
        <w:t>s mostly include developed economies or developing economies with small populations. The two notable exceptions that make this list are Pakistan and the Philippines, with populations in excess of 100 million. Further, countries with high degree of poverty have program</w:t>
      </w:r>
      <w:r w:rsidR="009E4C9D">
        <w:t>me</w:t>
      </w:r>
      <w:r w:rsidRPr="00104BA4">
        <w:t>s with the lowest coverage.</w:t>
      </w:r>
    </w:p>
    <w:p w:rsidR="00BD0165" w:rsidRPr="00104BA4" w:rsidRDefault="00CA1E0B" w:rsidP="00CA1E0B">
      <w:pPr>
        <w:pStyle w:val="Heading1"/>
      </w:pPr>
      <w:r w:rsidRPr="00104BA4">
        <w:t>Conclusion</w:t>
      </w:r>
    </w:p>
    <w:p w:rsidR="001E4851" w:rsidRPr="00104BA4" w:rsidRDefault="003B4320" w:rsidP="00586554">
      <w:pPr>
        <w:spacing w:before="240"/>
      </w:pPr>
      <w:r w:rsidRPr="00104BA4">
        <w:t>By historical standards, most developing economies have done exceptionally well in stabilising their economies following the C</w:t>
      </w:r>
      <w:r w:rsidR="002A4218" w:rsidRPr="00104BA4">
        <w:t>ovid-</w:t>
      </w:r>
      <w:r w:rsidRPr="00104BA4">
        <w:t>19 outbreak.</w:t>
      </w:r>
      <w:r w:rsidR="00491C23" w:rsidRPr="00104BA4">
        <w:t xml:space="preserve"> </w:t>
      </w:r>
      <w:r w:rsidR="002A4218" w:rsidRPr="00104BA4">
        <w:t>But</w:t>
      </w:r>
      <w:r w:rsidRPr="00104BA4">
        <w:t xml:space="preserve"> the limitations in reaching out to their citizen</w:t>
      </w:r>
      <w:r w:rsidR="00D93A51" w:rsidRPr="00104BA4">
        <w:t>s</w:t>
      </w:r>
      <w:r w:rsidRPr="00104BA4">
        <w:t xml:space="preserve"> to insulate them from the shock has</w:t>
      </w:r>
      <w:r w:rsidR="009E4C9D">
        <w:t xml:space="preserve"> also made developing country</w:t>
      </w:r>
      <w:r w:rsidRPr="00104BA4">
        <w:t xml:space="preserve"> governments extremely reluctant to </w:t>
      </w:r>
      <w:r w:rsidR="00586554" w:rsidRPr="00104BA4">
        <w:t xml:space="preserve">impose nationwide lockdowns and bring economic activity to a halt. </w:t>
      </w:r>
    </w:p>
    <w:p w:rsidR="007C2F79" w:rsidRPr="00104BA4" w:rsidRDefault="002A4218" w:rsidP="00586554">
      <w:pPr>
        <w:spacing w:before="240"/>
      </w:pPr>
      <w:r w:rsidRPr="00104BA4">
        <w:t>T</w:t>
      </w:r>
      <w:r w:rsidR="00586554" w:rsidRPr="00104BA4">
        <w:t xml:space="preserve">his </w:t>
      </w:r>
      <w:r w:rsidR="00CA1E0B" w:rsidRPr="00104BA4">
        <w:t xml:space="preserve">trade-off faced by the developing economies </w:t>
      </w:r>
      <w:r w:rsidR="00D93A51" w:rsidRPr="00104BA4">
        <w:t xml:space="preserve">that </w:t>
      </w:r>
      <w:r w:rsidR="00CA1E0B" w:rsidRPr="00104BA4">
        <w:t xml:space="preserve">are currently facing the brunt of the pandemic </w:t>
      </w:r>
      <w:r w:rsidR="00D93A51" w:rsidRPr="00104BA4">
        <w:t>greatly increases the risk</w:t>
      </w:r>
      <w:r w:rsidR="00302705" w:rsidRPr="00104BA4">
        <w:t>s</w:t>
      </w:r>
      <w:r w:rsidR="00D93A51" w:rsidRPr="00104BA4">
        <w:t xml:space="preserve"> to their citizens’ health and lives</w:t>
      </w:r>
      <w:r w:rsidR="00CA1E0B" w:rsidRPr="00104BA4">
        <w:t>. The longer the public health crisis persists, the more infectious the virus becomes</w:t>
      </w:r>
      <w:r w:rsidRPr="00104BA4">
        <w:t xml:space="preserve"> and the </w:t>
      </w:r>
      <w:r w:rsidR="007C2F79" w:rsidRPr="00104BA4">
        <w:t>greater the need for</w:t>
      </w:r>
      <w:r w:rsidRPr="00104BA4">
        <w:t xml:space="preserve"> social restrictions</w:t>
      </w:r>
      <w:r w:rsidR="00CA1E0B" w:rsidRPr="00104BA4">
        <w:t>. In contrast, the harsher the measures to contain the pandemic, the</w:t>
      </w:r>
      <w:r w:rsidR="007C2F79" w:rsidRPr="00104BA4">
        <w:t xml:space="preserve"> more unsustain</w:t>
      </w:r>
      <w:r w:rsidR="00302705" w:rsidRPr="00104BA4">
        <w:t xml:space="preserve">able these become, giving </w:t>
      </w:r>
      <w:r w:rsidR="00CA1E0B" w:rsidRPr="00104BA4">
        <w:t xml:space="preserve">people </w:t>
      </w:r>
      <w:r w:rsidR="00302705" w:rsidRPr="00104BA4">
        <w:t xml:space="preserve">the incentives </w:t>
      </w:r>
      <w:r w:rsidR="00CA1E0B" w:rsidRPr="00104BA4">
        <w:t>to violate the</w:t>
      </w:r>
      <w:r w:rsidR="00D93A51" w:rsidRPr="00104BA4">
        <w:t>m</w:t>
      </w:r>
      <w:r w:rsidR="00CA1E0B" w:rsidRPr="00104BA4">
        <w:t xml:space="preserve">. </w:t>
      </w:r>
    </w:p>
    <w:p w:rsidR="00CA1E0B" w:rsidRPr="00104BA4" w:rsidRDefault="007C2F79" w:rsidP="00586554">
      <w:pPr>
        <w:spacing w:before="240"/>
      </w:pPr>
      <w:r w:rsidRPr="00104BA4">
        <w:t>W</w:t>
      </w:r>
      <w:r w:rsidR="00CA1E0B" w:rsidRPr="00104BA4">
        <w:t>hat is needed is a global effort towards both making vaccine</w:t>
      </w:r>
      <w:r w:rsidR="00E55C0B" w:rsidRPr="00104BA4">
        <w:t>s</w:t>
      </w:r>
      <w:r w:rsidR="00E544AD" w:rsidRPr="00104BA4">
        <w:t xml:space="preserve"> </w:t>
      </w:r>
      <w:r w:rsidR="00CA1E0B" w:rsidRPr="00104BA4">
        <w:t>available and strengthening the state capacity of these governments to complete the vaccination drive</w:t>
      </w:r>
      <w:r w:rsidR="00302705" w:rsidRPr="00104BA4">
        <w:t xml:space="preserve"> effectively</w:t>
      </w:r>
      <w:r w:rsidR="00CA1E0B" w:rsidRPr="00104BA4">
        <w:t>.</w:t>
      </w:r>
      <w:r w:rsidR="00586554" w:rsidRPr="00104BA4">
        <w:t xml:space="preserve"> From climate change to </w:t>
      </w:r>
      <w:r w:rsidR="00E544AD" w:rsidRPr="00104BA4">
        <w:t xml:space="preserve">the </w:t>
      </w:r>
      <w:r w:rsidR="00586554" w:rsidRPr="00104BA4">
        <w:t>pandemic, we are only as strong as the weakest link in the chain.</w:t>
      </w:r>
    </w:p>
    <w:p w:rsidR="005F64FD" w:rsidRPr="00104BA4" w:rsidRDefault="005F64FD" w:rsidP="00586554">
      <w:pPr>
        <w:spacing w:before="240"/>
      </w:pPr>
    </w:p>
    <w:p w:rsidR="005F64FD" w:rsidRPr="00104BA4" w:rsidRDefault="005F64FD" w:rsidP="00586554">
      <w:pPr>
        <w:spacing w:before="240"/>
      </w:pPr>
    </w:p>
    <w:p w:rsidR="002A4218" w:rsidRPr="00104BA4" w:rsidRDefault="002A4218" w:rsidP="00586554">
      <w:pPr>
        <w:spacing w:before="240"/>
        <w:rPr>
          <w:b/>
        </w:rPr>
      </w:pPr>
      <w:r w:rsidRPr="00104BA4">
        <w:rPr>
          <w:b/>
        </w:rPr>
        <w:t>Where can I find out more?</w:t>
      </w:r>
    </w:p>
    <w:p w:rsidR="003064BE" w:rsidRPr="00104BA4" w:rsidRDefault="00B35347">
      <w:pPr>
        <w:pStyle w:val="ListParagraph"/>
        <w:numPr>
          <w:ilvl w:val="0"/>
          <w:numId w:val="3"/>
        </w:numPr>
        <w:spacing w:before="240"/>
      </w:pPr>
      <w:r w:rsidRPr="00104BA4">
        <w:t>The I</w:t>
      </w:r>
      <w:r w:rsidR="00E90FCE" w:rsidRPr="00104BA4">
        <w:t xml:space="preserve">nternational </w:t>
      </w:r>
      <w:r w:rsidRPr="00104BA4">
        <w:t>M</w:t>
      </w:r>
      <w:r w:rsidR="00E90FCE" w:rsidRPr="00104BA4">
        <w:t xml:space="preserve">onetary </w:t>
      </w:r>
      <w:r w:rsidRPr="00104BA4">
        <w:t>F</w:t>
      </w:r>
      <w:r w:rsidR="00E90FCE" w:rsidRPr="00104BA4">
        <w:t>und</w:t>
      </w:r>
      <w:r w:rsidRPr="00104BA4">
        <w:t xml:space="preserve"> publishes </w:t>
      </w:r>
      <w:r w:rsidR="00D93A51" w:rsidRPr="00104BA4">
        <w:t xml:space="preserve">the </w:t>
      </w:r>
      <w:hyperlink r:id="rId35" w:history="1">
        <w:r w:rsidRPr="00104BA4">
          <w:rPr>
            <w:rStyle w:val="Hyperlink"/>
          </w:rPr>
          <w:t>Global Financial Stabilit</w:t>
        </w:r>
        <w:r w:rsidR="00D93A51" w:rsidRPr="00104BA4">
          <w:rPr>
            <w:rStyle w:val="Hyperlink"/>
          </w:rPr>
          <w:t>y Report</w:t>
        </w:r>
      </w:hyperlink>
      <w:r w:rsidR="00D93A51" w:rsidRPr="00104BA4">
        <w:t>,</w:t>
      </w:r>
      <w:r w:rsidRPr="00104BA4">
        <w:t xml:space="preserve"> which contain</w:t>
      </w:r>
      <w:r w:rsidR="00D93A51" w:rsidRPr="00104BA4">
        <w:t>s</w:t>
      </w:r>
      <w:r w:rsidRPr="00104BA4">
        <w:t xml:space="preserve"> a bird</w:t>
      </w:r>
      <w:r w:rsidR="00973E6A" w:rsidRPr="00104BA4">
        <w:t>-</w:t>
      </w:r>
      <w:r w:rsidRPr="00104BA4">
        <w:t>eye</w:t>
      </w:r>
      <w:r w:rsidR="00973E6A" w:rsidRPr="00104BA4">
        <w:t>-</w:t>
      </w:r>
      <w:r w:rsidRPr="00104BA4">
        <w:t>view of how economic events are affecting financial conditions across countries.</w:t>
      </w:r>
      <w:r w:rsidR="00973E6A" w:rsidRPr="00104BA4">
        <w:t xml:space="preserve"> </w:t>
      </w:r>
    </w:p>
    <w:p w:rsidR="003064BE" w:rsidRPr="00104BA4" w:rsidRDefault="00973E6A">
      <w:pPr>
        <w:pStyle w:val="ListParagraph"/>
        <w:numPr>
          <w:ilvl w:val="0"/>
          <w:numId w:val="3"/>
        </w:numPr>
        <w:spacing w:before="240"/>
      </w:pPr>
      <w:r w:rsidRPr="00104BA4">
        <w:t xml:space="preserve">The </w:t>
      </w:r>
      <w:hyperlink r:id="rId36" w:history="1">
        <w:r w:rsidRPr="00104BA4">
          <w:rPr>
            <w:rStyle w:val="Hyperlink"/>
          </w:rPr>
          <w:t>Bank of International Settlements</w:t>
        </w:r>
      </w:hyperlink>
      <w:r w:rsidRPr="00104BA4">
        <w:t xml:space="preserve"> (BIS) provides </w:t>
      </w:r>
      <w:r w:rsidR="00754C2C" w:rsidRPr="00104BA4">
        <w:t xml:space="preserve">detailed information </w:t>
      </w:r>
      <w:r w:rsidRPr="00104BA4">
        <w:t>on global financial conditions</w:t>
      </w:r>
      <w:r w:rsidR="009E539C" w:rsidRPr="00104BA4">
        <w:t>.</w:t>
      </w:r>
    </w:p>
    <w:p w:rsidR="003064BE" w:rsidRPr="00104BA4" w:rsidRDefault="00D93A51">
      <w:pPr>
        <w:pStyle w:val="ListParagraph"/>
        <w:numPr>
          <w:ilvl w:val="0"/>
          <w:numId w:val="3"/>
        </w:numPr>
        <w:spacing w:before="240"/>
      </w:pPr>
      <w:r w:rsidRPr="00104BA4">
        <w:t>The International Labo</w:t>
      </w:r>
      <w:r w:rsidR="005170E8">
        <w:t>u</w:t>
      </w:r>
      <w:r w:rsidRPr="00104BA4">
        <w:t xml:space="preserve">r Organization </w:t>
      </w:r>
      <w:hyperlink r:id="rId37" w:history="1">
        <w:r w:rsidRPr="00104BA4">
          <w:rPr>
            <w:rStyle w:val="Hyperlink"/>
          </w:rPr>
          <w:t>Trends 2020</w:t>
        </w:r>
      </w:hyperlink>
      <w:r w:rsidRPr="00104BA4">
        <w:t xml:space="preserve"> report provides an overview of global and regional </w:t>
      </w:r>
      <w:r w:rsidR="00885E78" w:rsidRPr="00104BA4">
        <w:t>employment, unemployment and labour market changes.</w:t>
      </w:r>
    </w:p>
    <w:p w:rsidR="00615600" w:rsidRPr="00104BA4" w:rsidRDefault="00615600">
      <w:pPr>
        <w:pStyle w:val="ListParagraph"/>
        <w:numPr>
          <w:ilvl w:val="0"/>
          <w:numId w:val="3"/>
        </w:numPr>
        <w:spacing w:before="240"/>
      </w:pPr>
      <w:r w:rsidRPr="00104BA4">
        <w:t xml:space="preserve">A recent </w:t>
      </w:r>
      <w:r w:rsidR="005170E8">
        <w:t>Vox</w:t>
      </w:r>
      <w:r w:rsidRPr="00104BA4">
        <w:t xml:space="preserve">EU </w:t>
      </w:r>
      <w:hyperlink r:id="rId38" w:history="1">
        <w:r w:rsidRPr="00104BA4">
          <w:rPr>
            <w:rStyle w:val="Hyperlink"/>
          </w:rPr>
          <w:t>e-book</w:t>
        </w:r>
      </w:hyperlink>
      <w:r w:rsidRPr="00104BA4">
        <w:t xml:space="preserve"> discusses the steps taken by central banks across the world to protect their respective economies from the effects of Covid-19 pandemic.</w:t>
      </w:r>
    </w:p>
    <w:p w:rsidR="005F64FD" w:rsidRPr="00104BA4" w:rsidRDefault="005F64FD" w:rsidP="00586554">
      <w:pPr>
        <w:spacing w:before="240"/>
      </w:pPr>
    </w:p>
    <w:p w:rsidR="002A4218" w:rsidRPr="00104BA4" w:rsidRDefault="002A4218" w:rsidP="00586554">
      <w:pPr>
        <w:spacing w:before="240"/>
        <w:rPr>
          <w:b/>
        </w:rPr>
      </w:pPr>
      <w:r w:rsidRPr="00104BA4">
        <w:rPr>
          <w:b/>
        </w:rPr>
        <w:t>Who are experts on this question?</w:t>
      </w:r>
    </w:p>
    <w:p w:rsidR="0000632B" w:rsidRPr="00104BA4" w:rsidRDefault="0000632B" w:rsidP="0000632B">
      <w:pPr>
        <w:pStyle w:val="ListParagraph"/>
        <w:numPr>
          <w:ilvl w:val="0"/>
          <w:numId w:val="2"/>
        </w:numPr>
        <w:spacing w:before="240"/>
      </w:pPr>
      <w:r w:rsidRPr="00104BA4">
        <w:t>Helene Rey</w:t>
      </w:r>
    </w:p>
    <w:p w:rsidR="003064BE" w:rsidRPr="00104BA4" w:rsidRDefault="00200F5D">
      <w:pPr>
        <w:pStyle w:val="ListParagraph"/>
        <w:numPr>
          <w:ilvl w:val="0"/>
          <w:numId w:val="2"/>
        </w:numPr>
        <w:spacing w:before="240"/>
      </w:pPr>
      <w:r w:rsidRPr="00104BA4">
        <w:t>Jeffrey Frankel</w:t>
      </w:r>
    </w:p>
    <w:p w:rsidR="003064BE" w:rsidRPr="00104BA4" w:rsidRDefault="00B35347">
      <w:pPr>
        <w:pStyle w:val="ListParagraph"/>
        <w:numPr>
          <w:ilvl w:val="0"/>
          <w:numId w:val="2"/>
        </w:numPr>
        <w:spacing w:before="240"/>
      </w:pPr>
      <w:r w:rsidRPr="00104BA4">
        <w:t>Gita Gopinath</w:t>
      </w:r>
    </w:p>
    <w:p w:rsidR="003064BE" w:rsidRPr="00104BA4" w:rsidRDefault="00200F5D">
      <w:pPr>
        <w:pStyle w:val="ListParagraph"/>
        <w:numPr>
          <w:ilvl w:val="0"/>
          <w:numId w:val="2"/>
        </w:numPr>
        <w:spacing w:before="240"/>
      </w:pPr>
      <w:r w:rsidRPr="00104BA4">
        <w:t>Maurice Obstfeld</w:t>
      </w:r>
    </w:p>
    <w:p w:rsidR="00B35347" w:rsidRPr="00104BA4" w:rsidRDefault="00B35347" w:rsidP="00586554">
      <w:pPr>
        <w:spacing w:before="240"/>
      </w:pPr>
    </w:p>
    <w:p w:rsidR="00CA1E0B" w:rsidRPr="00104BA4" w:rsidRDefault="00FC55E2" w:rsidP="001C5012">
      <w:r w:rsidRPr="00104BA4">
        <w:t>Author: Ahmed Jamal Pirzada</w:t>
      </w:r>
    </w:p>
    <w:p w:rsidR="00503C96" w:rsidRPr="00104BA4" w:rsidRDefault="00BD0165" w:rsidP="00996D0E">
      <w:pPr>
        <w:pStyle w:val="Heading1"/>
        <w:rPr>
          <w:sz w:val="24"/>
          <w:szCs w:val="24"/>
        </w:rPr>
      </w:pPr>
      <w:r w:rsidRPr="00104BA4">
        <w:br/>
      </w:r>
      <w:r w:rsidR="002012B3" w:rsidRPr="00104BA4">
        <w:rPr>
          <w:sz w:val="24"/>
          <w:szCs w:val="24"/>
        </w:rPr>
        <w:t>Topics:</w:t>
      </w:r>
    </w:p>
    <w:p w:rsidR="002A4218" w:rsidRPr="00104BA4" w:rsidRDefault="002A4218">
      <w:r w:rsidRPr="00104BA4">
        <w:t>Banks and financial markets</w:t>
      </w:r>
    </w:p>
    <w:p w:rsidR="002A4218" w:rsidRPr="00104BA4" w:rsidRDefault="002A4218" w:rsidP="002A4218">
      <w:r w:rsidRPr="00104BA4">
        <w:t>Aid and development</w:t>
      </w:r>
    </w:p>
    <w:p w:rsidR="002A4218" w:rsidRPr="00104BA4" w:rsidRDefault="002A4218">
      <w:r w:rsidRPr="00104BA4">
        <w:t>Jobs and pay</w:t>
      </w:r>
    </w:p>
    <w:p w:rsidR="002A4218" w:rsidRPr="00104BA4" w:rsidRDefault="002A4218"/>
    <w:p w:rsidR="00F7180C" w:rsidRPr="00104BA4" w:rsidRDefault="002A4218">
      <w:r w:rsidRPr="00104BA4">
        <w:t xml:space="preserve">Related articles: </w:t>
      </w:r>
    </w:p>
    <w:p w:rsidR="00F7180C" w:rsidRPr="00104BA4" w:rsidRDefault="00FC7A91">
      <w:hyperlink r:id="rId39" w:tooltip="How might costly sovereign debt default in emerging economies be averted?" w:history="1">
        <w:r w:rsidR="00F7180C" w:rsidRPr="00104BA4">
          <w:rPr>
            <w:rStyle w:val="Hyperlink"/>
            <w:rFonts w:ascii="Spectral" w:hAnsi="Spectral"/>
            <w:shd w:val="clear" w:color="auto" w:fill="FFFFFF"/>
          </w:rPr>
          <w:t>How might costly sovereign debt default in emerging economies be averted?</w:t>
        </w:r>
      </w:hyperlink>
    </w:p>
    <w:p w:rsidR="00F7180C" w:rsidRPr="00104BA4" w:rsidRDefault="00FC7A91">
      <w:hyperlink r:id="rId40" w:tooltip="How are firms in emerging markets reacting to the coronavirus crisis?" w:history="1">
        <w:r w:rsidR="00F7180C" w:rsidRPr="00104BA4">
          <w:rPr>
            <w:rStyle w:val="Hyperlink"/>
            <w:rFonts w:ascii="Spectral" w:hAnsi="Spectral"/>
            <w:shd w:val="clear" w:color="auto" w:fill="FFFFFF"/>
          </w:rPr>
          <w:t>How are firms in emerging markets reacting to the coronavirus crisis?</w:t>
        </w:r>
      </w:hyperlink>
    </w:p>
    <w:p w:rsidR="008E4BE3" w:rsidRPr="00104BA4" w:rsidRDefault="00FC7A91" w:rsidP="009E539C">
      <w:hyperlink r:id="rId41" w:tooltip="How will coronavirus change the global microfinance industry?" w:history="1">
        <w:r w:rsidR="00F7180C" w:rsidRPr="00104BA4">
          <w:rPr>
            <w:rStyle w:val="Hyperlink"/>
            <w:rFonts w:ascii="Spectral" w:hAnsi="Spectral"/>
            <w:shd w:val="clear" w:color="auto" w:fill="FFFFFF"/>
          </w:rPr>
          <w:t>How will coronavirus change the global microfinance industry?</w:t>
        </w:r>
      </w:hyperlink>
    </w:p>
    <w:sectPr w:rsidR="008E4BE3" w:rsidRPr="00104BA4" w:rsidSect="00D8529A">
      <w:pgSz w:w="11906" w:h="16838"/>
      <w:pgMar w:top="993" w:right="1440" w:bottom="851"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B5F19" w15:done="0"/>
  <w15:commentEx w15:paraId="1BA52743" w15:paraIdParent="08DB5F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37AAA" w16cex:dateUtc="2021-06-27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B5F19" w16cid:durableId="2483637C"/>
  <w16cid:commentId w16cid:paraId="1BA52743" w16cid:durableId="24837AAA"/>
</w16cid:commentsId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9DC" w:rsidRDefault="009019DC" w:rsidP="00272824">
      <w:pPr>
        <w:spacing w:after="0" w:line="240" w:lineRule="auto"/>
      </w:pPr>
      <w:r>
        <w:separator/>
      </w:r>
    </w:p>
  </w:endnote>
  <w:endnote w:type="continuationSeparator" w:id="0">
    <w:p w:rsidR="009019DC" w:rsidRDefault="009019DC" w:rsidP="002728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E4002EFF" w:usb1="C000247B" w:usb2="00000009" w:usb3="00000000" w:csb0="000001FF" w:csb1="00000000"/>
  </w:font>
  <w:font w:name="Lucida Grande">
    <w:altName w:val="Segoe UI"/>
    <w:panose1 w:val="02000000000000000000"/>
    <w:charset w:val="00"/>
    <w:family w:val="auto"/>
    <w:pitch w:val="variable"/>
    <w:sig w:usb0="00000003" w:usb1="00000000" w:usb2="00000000" w:usb3="00000000" w:csb0="00000001" w:csb1="00000000"/>
  </w:font>
  <w:font w:name="Spectral">
    <w:altName w:val="Cambria"/>
    <w:charset w:val="00"/>
    <w:family w:val="roman"/>
    <w:pitch w:val="variable"/>
    <w:sig w:usb0="E000027F" w:usb1="4000E43B" w:usb2="00000000" w:usb3="00000000" w:csb0="00000197"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9DC" w:rsidRDefault="009019DC" w:rsidP="00272824">
      <w:pPr>
        <w:spacing w:after="0" w:line="240" w:lineRule="auto"/>
      </w:pPr>
      <w:r>
        <w:separator/>
      </w:r>
    </w:p>
  </w:footnote>
  <w:footnote w:type="continuationSeparator" w:id="0">
    <w:p w:rsidR="009019DC" w:rsidRDefault="009019DC" w:rsidP="00272824">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A539F"/>
    <w:multiLevelType w:val="hybridMultilevel"/>
    <w:tmpl w:val="785E2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E34F19"/>
    <w:multiLevelType w:val="hybridMultilevel"/>
    <w:tmpl w:val="9440D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F39CE"/>
    <w:multiLevelType w:val="hybridMultilevel"/>
    <w:tmpl w:val="AE80E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ed pirzada">
    <w15:presenceInfo w15:providerId="Windows Live" w15:userId="9d7cfcd10e865c6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CA03D4"/>
    <w:rsid w:val="00000587"/>
    <w:rsid w:val="0000632B"/>
    <w:rsid w:val="0001393B"/>
    <w:rsid w:val="00021B2E"/>
    <w:rsid w:val="00034986"/>
    <w:rsid w:val="00035E27"/>
    <w:rsid w:val="000414BA"/>
    <w:rsid w:val="0004249E"/>
    <w:rsid w:val="000467B5"/>
    <w:rsid w:val="000613D8"/>
    <w:rsid w:val="000672FA"/>
    <w:rsid w:val="00076C1A"/>
    <w:rsid w:val="0008629E"/>
    <w:rsid w:val="00093D30"/>
    <w:rsid w:val="000C06C2"/>
    <w:rsid w:val="000D1FF2"/>
    <w:rsid w:val="000D5C02"/>
    <w:rsid w:val="000E26D7"/>
    <w:rsid w:val="000E3426"/>
    <w:rsid w:val="000F1FD3"/>
    <w:rsid w:val="000F380E"/>
    <w:rsid w:val="00104884"/>
    <w:rsid w:val="00104BA4"/>
    <w:rsid w:val="00113D57"/>
    <w:rsid w:val="0012195B"/>
    <w:rsid w:val="001408E0"/>
    <w:rsid w:val="001446F5"/>
    <w:rsid w:val="00153EDE"/>
    <w:rsid w:val="00165C48"/>
    <w:rsid w:val="00166D3A"/>
    <w:rsid w:val="00173C2D"/>
    <w:rsid w:val="00187123"/>
    <w:rsid w:val="00195807"/>
    <w:rsid w:val="001A3A5B"/>
    <w:rsid w:val="001C5012"/>
    <w:rsid w:val="001D02B0"/>
    <w:rsid w:val="001E4851"/>
    <w:rsid w:val="001E7D49"/>
    <w:rsid w:val="001F5781"/>
    <w:rsid w:val="00200F5D"/>
    <w:rsid w:val="002012B3"/>
    <w:rsid w:val="0021010A"/>
    <w:rsid w:val="00220134"/>
    <w:rsid w:val="0023431F"/>
    <w:rsid w:val="00246FF6"/>
    <w:rsid w:val="00256C56"/>
    <w:rsid w:val="002679A1"/>
    <w:rsid w:val="00270451"/>
    <w:rsid w:val="00272824"/>
    <w:rsid w:val="002819B1"/>
    <w:rsid w:val="00293096"/>
    <w:rsid w:val="002A2694"/>
    <w:rsid w:val="002A340C"/>
    <w:rsid w:val="002A4218"/>
    <w:rsid w:val="002C28C9"/>
    <w:rsid w:val="002D5751"/>
    <w:rsid w:val="002E26E7"/>
    <w:rsid w:val="002E7148"/>
    <w:rsid w:val="002E72B2"/>
    <w:rsid w:val="00302705"/>
    <w:rsid w:val="003064BE"/>
    <w:rsid w:val="00311E41"/>
    <w:rsid w:val="00312B94"/>
    <w:rsid w:val="0031655B"/>
    <w:rsid w:val="0032504B"/>
    <w:rsid w:val="00330893"/>
    <w:rsid w:val="00336668"/>
    <w:rsid w:val="00347EFE"/>
    <w:rsid w:val="00352C67"/>
    <w:rsid w:val="0035665E"/>
    <w:rsid w:val="003703B2"/>
    <w:rsid w:val="003704B4"/>
    <w:rsid w:val="00377D87"/>
    <w:rsid w:val="00382CFD"/>
    <w:rsid w:val="003A4245"/>
    <w:rsid w:val="003B10BA"/>
    <w:rsid w:val="003B3C4D"/>
    <w:rsid w:val="003B4320"/>
    <w:rsid w:val="003C1A93"/>
    <w:rsid w:val="003C2633"/>
    <w:rsid w:val="003D085D"/>
    <w:rsid w:val="003D75C4"/>
    <w:rsid w:val="003E29A2"/>
    <w:rsid w:val="003E7901"/>
    <w:rsid w:val="003E7F20"/>
    <w:rsid w:val="003F2C75"/>
    <w:rsid w:val="003F7535"/>
    <w:rsid w:val="004008E1"/>
    <w:rsid w:val="004104ED"/>
    <w:rsid w:val="00413127"/>
    <w:rsid w:val="00413A10"/>
    <w:rsid w:val="004151B4"/>
    <w:rsid w:val="00424360"/>
    <w:rsid w:val="004305F7"/>
    <w:rsid w:val="00445313"/>
    <w:rsid w:val="00445AD9"/>
    <w:rsid w:val="00454750"/>
    <w:rsid w:val="00462D13"/>
    <w:rsid w:val="004649CB"/>
    <w:rsid w:val="0046614C"/>
    <w:rsid w:val="004665B5"/>
    <w:rsid w:val="004776CA"/>
    <w:rsid w:val="004806F0"/>
    <w:rsid w:val="00491C23"/>
    <w:rsid w:val="004A21EB"/>
    <w:rsid w:val="004B01B3"/>
    <w:rsid w:val="004C751C"/>
    <w:rsid w:val="004D60E2"/>
    <w:rsid w:val="004D706E"/>
    <w:rsid w:val="004F361D"/>
    <w:rsid w:val="005036B3"/>
    <w:rsid w:val="00503C96"/>
    <w:rsid w:val="00515E15"/>
    <w:rsid w:val="005170E8"/>
    <w:rsid w:val="00521995"/>
    <w:rsid w:val="00522659"/>
    <w:rsid w:val="005255D5"/>
    <w:rsid w:val="005269D6"/>
    <w:rsid w:val="00527873"/>
    <w:rsid w:val="00535CE3"/>
    <w:rsid w:val="00553744"/>
    <w:rsid w:val="00562AC9"/>
    <w:rsid w:val="00564473"/>
    <w:rsid w:val="005707AF"/>
    <w:rsid w:val="005746BC"/>
    <w:rsid w:val="00577357"/>
    <w:rsid w:val="00581E72"/>
    <w:rsid w:val="005823A3"/>
    <w:rsid w:val="00586554"/>
    <w:rsid w:val="005878A5"/>
    <w:rsid w:val="00592D2B"/>
    <w:rsid w:val="005A0DF0"/>
    <w:rsid w:val="005A5B03"/>
    <w:rsid w:val="005C1E59"/>
    <w:rsid w:val="005E315B"/>
    <w:rsid w:val="005E5A5B"/>
    <w:rsid w:val="005F64FD"/>
    <w:rsid w:val="0060080C"/>
    <w:rsid w:val="00605585"/>
    <w:rsid w:val="006111DB"/>
    <w:rsid w:val="00615600"/>
    <w:rsid w:val="00623A43"/>
    <w:rsid w:val="00623B19"/>
    <w:rsid w:val="006331D3"/>
    <w:rsid w:val="00635E35"/>
    <w:rsid w:val="006365DC"/>
    <w:rsid w:val="0064379B"/>
    <w:rsid w:val="00654967"/>
    <w:rsid w:val="00684019"/>
    <w:rsid w:val="00694E03"/>
    <w:rsid w:val="006A2F7F"/>
    <w:rsid w:val="006A3662"/>
    <w:rsid w:val="006D35D5"/>
    <w:rsid w:val="006D3AC3"/>
    <w:rsid w:val="006E2C58"/>
    <w:rsid w:val="006F4285"/>
    <w:rsid w:val="00701C39"/>
    <w:rsid w:val="0071313B"/>
    <w:rsid w:val="0072695E"/>
    <w:rsid w:val="007311B5"/>
    <w:rsid w:val="00734192"/>
    <w:rsid w:val="00750950"/>
    <w:rsid w:val="00754C2C"/>
    <w:rsid w:val="00760904"/>
    <w:rsid w:val="007640B1"/>
    <w:rsid w:val="00770565"/>
    <w:rsid w:val="0077319C"/>
    <w:rsid w:val="007747E5"/>
    <w:rsid w:val="00782665"/>
    <w:rsid w:val="00787C68"/>
    <w:rsid w:val="007A7573"/>
    <w:rsid w:val="007A7EC2"/>
    <w:rsid w:val="007B6583"/>
    <w:rsid w:val="007C2F79"/>
    <w:rsid w:val="007C5A4A"/>
    <w:rsid w:val="007D438E"/>
    <w:rsid w:val="007E170C"/>
    <w:rsid w:val="007E217B"/>
    <w:rsid w:val="007E3A1E"/>
    <w:rsid w:val="007E68BC"/>
    <w:rsid w:val="007F76C0"/>
    <w:rsid w:val="008132EE"/>
    <w:rsid w:val="00820B6C"/>
    <w:rsid w:val="00820EA2"/>
    <w:rsid w:val="008317EF"/>
    <w:rsid w:val="00836EB7"/>
    <w:rsid w:val="00873188"/>
    <w:rsid w:val="0087328A"/>
    <w:rsid w:val="00873928"/>
    <w:rsid w:val="008752EF"/>
    <w:rsid w:val="00875E17"/>
    <w:rsid w:val="0088548D"/>
    <w:rsid w:val="00885E78"/>
    <w:rsid w:val="00894B2E"/>
    <w:rsid w:val="008A41C6"/>
    <w:rsid w:val="008B553C"/>
    <w:rsid w:val="008C2F3E"/>
    <w:rsid w:val="008C3032"/>
    <w:rsid w:val="008D5B3F"/>
    <w:rsid w:val="008D69CD"/>
    <w:rsid w:val="008E4BE3"/>
    <w:rsid w:val="009019DC"/>
    <w:rsid w:val="00914A43"/>
    <w:rsid w:val="009219E4"/>
    <w:rsid w:val="009309CD"/>
    <w:rsid w:val="00935015"/>
    <w:rsid w:val="00940577"/>
    <w:rsid w:val="00941766"/>
    <w:rsid w:val="00944A62"/>
    <w:rsid w:val="00952ACD"/>
    <w:rsid w:val="00956766"/>
    <w:rsid w:val="00963649"/>
    <w:rsid w:val="00965543"/>
    <w:rsid w:val="00967564"/>
    <w:rsid w:val="00973E6A"/>
    <w:rsid w:val="00996D0E"/>
    <w:rsid w:val="009A798B"/>
    <w:rsid w:val="009B031E"/>
    <w:rsid w:val="009D160E"/>
    <w:rsid w:val="009D2CE9"/>
    <w:rsid w:val="009D46BB"/>
    <w:rsid w:val="009D6449"/>
    <w:rsid w:val="009E2ACF"/>
    <w:rsid w:val="009E4C9D"/>
    <w:rsid w:val="009E539C"/>
    <w:rsid w:val="009E55D6"/>
    <w:rsid w:val="009F7D19"/>
    <w:rsid w:val="00A00B87"/>
    <w:rsid w:val="00A00D4D"/>
    <w:rsid w:val="00A174A6"/>
    <w:rsid w:val="00A24378"/>
    <w:rsid w:val="00A246F8"/>
    <w:rsid w:val="00A34D62"/>
    <w:rsid w:val="00A41ED6"/>
    <w:rsid w:val="00A5136C"/>
    <w:rsid w:val="00A54622"/>
    <w:rsid w:val="00A56FFB"/>
    <w:rsid w:val="00A6353C"/>
    <w:rsid w:val="00A770E0"/>
    <w:rsid w:val="00AA0A08"/>
    <w:rsid w:val="00AB2940"/>
    <w:rsid w:val="00AC644A"/>
    <w:rsid w:val="00AD29C6"/>
    <w:rsid w:val="00B04BA1"/>
    <w:rsid w:val="00B0652E"/>
    <w:rsid w:val="00B12068"/>
    <w:rsid w:val="00B24C16"/>
    <w:rsid w:val="00B27649"/>
    <w:rsid w:val="00B3044F"/>
    <w:rsid w:val="00B34138"/>
    <w:rsid w:val="00B349B4"/>
    <w:rsid w:val="00B35347"/>
    <w:rsid w:val="00B41B49"/>
    <w:rsid w:val="00B41F5B"/>
    <w:rsid w:val="00B47E27"/>
    <w:rsid w:val="00B57890"/>
    <w:rsid w:val="00B6216C"/>
    <w:rsid w:val="00B63935"/>
    <w:rsid w:val="00B65D10"/>
    <w:rsid w:val="00B70ECB"/>
    <w:rsid w:val="00B82B3F"/>
    <w:rsid w:val="00B855EF"/>
    <w:rsid w:val="00B9279F"/>
    <w:rsid w:val="00BA141D"/>
    <w:rsid w:val="00BB01B7"/>
    <w:rsid w:val="00BB0415"/>
    <w:rsid w:val="00BB2F3B"/>
    <w:rsid w:val="00BB641C"/>
    <w:rsid w:val="00BC009A"/>
    <w:rsid w:val="00BD0165"/>
    <w:rsid w:val="00BD1B7F"/>
    <w:rsid w:val="00BE0203"/>
    <w:rsid w:val="00BE2FF8"/>
    <w:rsid w:val="00BE76AE"/>
    <w:rsid w:val="00BF3468"/>
    <w:rsid w:val="00BF7A00"/>
    <w:rsid w:val="00C00B32"/>
    <w:rsid w:val="00C064C0"/>
    <w:rsid w:val="00C07B86"/>
    <w:rsid w:val="00C11272"/>
    <w:rsid w:val="00C16BA6"/>
    <w:rsid w:val="00C24607"/>
    <w:rsid w:val="00C259AC"/>
    <w:rsid w:val="00C305FF"/>
    <w:rsid w:val="00C32C6A"/>
    <w:rsid w:val="00C5283B"/>
    <w:rsid w:val="00C65FB2"/>
    <w:rsid w:val="00C82AB1"/>
    <w:rsid w:val="00C87666"/>
    <w:rsid w:val="00CA03D4"/>
    <w:rsid w:val="00CA1E0B"/>
    <w:rsid w:val="00CA2B2F"/>
    <w:rsid w:val="00CB1511"/>
    <w:rsid w:val="00CB2DD6"/>
    <w:rsid w:val="00CC6BA5"/>
    <w:rsid w:val="00CD1A68"/>
    <w:rsid w:val="00CD2BD9"/>
    <w:rsid w:val="00D12904"/>
    <w:rsid w:val="00D17C11"/>
    <w:rsid w:val="00D211D7"/>
    <w:rsid w:val="00D22A3E"/>
    <w:rsid w:val="00D263F8"/>
    <w:rsid w:val="00D45A22"/>
    <w:rsid w:val="00D45A7D"/>
    <w:rsid w:val="00D533E3"/>
    <w:rsid w:val="00D534D8"/>
    <w:rsid w:val="00D550AE"/>
    <w:rsid w:val="00D6130D"/>
    <w:rsid w:val="00D62A3F"/>
    <w:rsid w:val="00D64A67"/>
    <w:rsid w:val="00D64FB6"/>
    <w:rsid w:val="00D6775F"/>
    <w:rsid w:val="00D758E3"/>
    <w:rsid w:val="00D8529A"/>
    <w:rsid w:val="00D93A51"/>
    <w:rsid w:val="00DB2155"/>
    <w:rsid w:val="00DB295F"/>
    <w:rsid w:val="00DB7E63"/>
    <w:rsid w:val="00DD4EA2"/>
    <w:rsid w:val="00DE0C25"/>
    <w:rsid w:val="00DF299F"/>
    <w:rsid w:val="00E15ABE"/>
    <w:rsid w:val="00E225B8"/>
    <w:rsid w:val="00E31887"/>
    <w:rsid w:val="00E32BAC"/>
    <w:rsid w:val="00E3321D"/>
    <w:rsid w:val="00E3646B"/>
    <w:rsid w:val="00E377CF"/>
    <w:rsid w:val="00E40562"/>
    <w:rsid w:val="00E40707"/>
    <w:rsid w:val="00E40A36"/>
    <w:rsid w:val="00E41C1E"/>
    <w:rsid w:val="00E431B0"/>
    <w:rsid w:val="00E43232"/>
    <w:rsid w:val="00E46901"/>
    <w:rsid w:val="00E544AD"/>
    <w:rsid w:val="00E55C0B"/>
    <w:rsid w:val="00E57592"/>
    <w:rsid w:val="00E7049C"/>
    <w:rsid w:val="00E72655"/>
    <w:rsid w:val="00E76B55"/>
    <w:rsid w:val="00E90FCE"/>
    <w:rsid w:val="00EC209F"/>
    <w:rsid w:val="00EE0774"/>
    <w:rsid w:val="00F32978"/>
    <w:rsid w:val="00F36E59"/>
    <w:rsid w:val="00F606EE"/>
    <w:rsid w:val="00F60E58"/>
    <w:rsid w:val="00F71768"/>
    <w:rsid w:val="00F7180C"/>
    <w:rsid w:val="00F72504"/>
    <w:rsid w:val="00F73651"/>
    <w:rsid w:val="00F86716"/>
    <w:rsid w:val="00F94171"/>
    <w:rsid w:val="00FA10B6"/>
    <w:rsid w:val="00FB1074"/>
    <w:rsid w:val="00FB7342"/>
    <w:rsid w:val="00FB7D05"/>
    <w:rsid w:val="00FC55E2"/>
    <w:rsid w:val="00FC5E09"/>
    <w:rsid w:val="00FC7A91"/>
    <w:rsid w:val="00FE2629"/>
    <w:rsid w:val="00FE497B"/>
    <w:rsid w:val="00FF7BC7"/>
  </w:rsids>
  <m:mathPr>
    <m:mathFont m:val="Lucida Grande"/>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B32"/>
  </w:style>
  <w:style w:type="paragraph" w:styleId="Heading1">
    <w:name w:val="heading 1"/>
    <w:basedOn w:val="Normal"/>
    <w:next w:val="Normal"/>
    <w:link w:val="Heading1Char"/>
    <w:uiPriority w:val="9"/>
    <w:qFormat/>
    <w:rsid w:val="00DE0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1C5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01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01B3"/>
    <w:rPr>
      <w:color w:val="0563C1" w:themeColor="hyperlink"/>
      <w:u w:val="single"/>
    </w:rPr>
  </w:style>
  <w:style w:type="character" w:customStyle="1" w:styleId="UnresolvedMention1">
    <w:name w:val="Unresolved Mention1"/>
    <w:basedOn w:val="DefaultParagraphFont"/>
    <w:uiPriority w:val="99"/>
    <w:semiHidden/>
    <w:unhideWhenUsed/>
    <w:rsid w:val="004B01B3"/>
    <w:rPr>
      <w:color w:val="605E5C"/>
      <w:shd w:val="clear" w:color="auto" w:fill="E1DFDD"/>
    </w:rPr>
  </w:style>
  <w:style w:type="character" w:customStyle="1" w:styleId="Heading1Char">
    <w:name w:val="Heading 1 Char"/>
    <w:basedOn w:val="DefaultParagraphFont"/>
    <w:link w:val="Heading1"/>
    <w:uiPriority w:val="9"/>
    <w:rsid w:val="00DE0C2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4323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728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824"/>
    <w:rPr>
      <w:sz w:val="20"/>
      <w:szCs w:val="20"/>
    </w:rPr>
  </w:style>
  <w:style w:type="character" w:styleId="FootnoteReference">
    <w:name w:val="footnote reference"/>
    <w:basedOn w:val="DefaultParagraphFont"/>
    <w:uiPriority w:val="99"/>
    <w:semiHidden/>
    <w:unhideWhenUsed/>
    <w:rsid w:val="00272824"/>
    <w:rPr>
      <w:vertAlign w:val="superscript"/>
    </w:rPr>
  </w:style>
  <w:style w:type="character" w:styleId="Emphasis">
    <w:name w:val="Emphasis"/>
    <w:basedOn w:val="DefaultParagraphFont"/>
    <w:uiPriority w:val="20"/>
    <w:qFormat/>
    <w:rsid w:val="00996D0E"/>
    <w:rPr>
      <w:i/>
      <w:iCs/>
    </w:rPr>
  </w:style>
  <w:style w:type="character" w:styleId="CommentReference">
    <w:name w:val="annotation reference"/>
    <w:basedOn w:val="DefaultParagraphFont"/>
    <w:uiPriority w:val="99"/>
    <w:semiHidden/>
    <w:unhideWhenUsed/>
    <w:rsid w:val="00FC55E2"/>
    <w:rPr>
      <w:sz w:val="16"/>
      <w:szCs w:val="16"/>
    </w:rPr>
  </w:style>
  <w:style w:type="paragraph" w:styleId="CommentText">
    <w:name w:val="annotation text"/>
    <w:basedOn w:val="Normal"/>
    <w:link w:val="CommentTextChar"/>
    <w:uiPriority w:val="99"/>
    <w:semiHidden/>
    <w:unhideWhenUsed/>
    <w:rsid w:val="00FC55E2"/>
    <w:pPr>
      <w:spacing w:line="240" w:lineRule="auto"/>
    </w:pPr>
    <w:rPr>
      <w:sz w:val="20"/>
      <w:szCs w:val="20"/>
    </w:rPr>
  </w:style>
  <w:style w:type="character" w:customStyle="1" w:styleId="CommentTextChar">
    <w:name w:val="Comment Text Char"/>
    <w:basedOn w:val="DefaultParagraphFont"/>
    <w:link w:val="CommentText"/>
    <w:uiPriority w:val="99"/>
    <w:semiHidden/>
    <w:rsid w:val="00FC55E2"/>
    <w:rPr>
      <w:sz w:val="20"/>
      <w:szCs w:val="20"/>
    </w:rPr>
  </w:style>
  <w:style w:type="paragraph" w:styleId="CommentSubject">
    <w:name w:val="annotation subject"/>
    <w:basedOn w:val="CommentText"/>
    <w:next w:val="CommentText"/>
    <w:link w:val="CommentSubjectChar"/>
    <w:uiPriority w:val="99"/>
    <w:semiHidden/>
    <w:unhideWhenUsed/>
    <w:rsid w:val="00FC55E2"/>
    <w:rPr>
      <w:b/>
      <w:bCs/>
    </w:rPr>
  </w:style>
  <w:style w:type="character" w:customStyle="1" w:styleId="CommentSubjectChar">
    <w:name w:val="Comment Subject Char"/>
    <w:basedOn w:val="CommentTextChar"/>
    <w:link w:val="CommentSubject"/>
    <w:uiPriority w:val="99"/>
    <w:semiHidden/>
    <w:rsid w:val="00FC55E2"/>
    <w:rPr>
      <w:b/>
      <w:bCs/>
      <w:sz w:val="20"/>
      <w:szCs w:val="20"/>
    </w:rPr>
  </w:style>
  <w:style w:type="paragraph" w:styleId="ListParagraph">
    <w:name w:val="List Paragraph"/>
    <w:basedOn w:val="Normal"/>
    <w:uiPriority w:val="34"/>
    <w:qFormat/>
    <w:rsid w:val="00BB01B7"/>
    <w:pPr>
      <w:ind w:left="720"/>
      <w:contextualSpacing/>
    </w:pPr>
  </w:style>
  <w:style w:type="paragraph" w:styleId="BalloonText">
    <w:name w:val="Balloon Text"/>
    <w:basedOn w:val="Normal"/>
    <w:link w:val="BalloonTextChar"/>
    <w:uiPriority w:val="99"/>
    <w:semiHidden/>
    <w:unhideWhenUsed/>
    <w:rsid w:val="00E32B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2BAC"/>
    <w:rPr>
      <w:rFonts w:ascii="Lucida Grande" w:hAnsi="Lucida Grande"/>
      <w:sz w:val="18"/>
      <w:szCs w:val="18"/>
    </w:rPr>
  </w:style>
  <w:style w:type="paragraph" w:styleId="Revision">
    <w:name w:val="Revision"/>
    <w:hidden/>
    <w:uiPriority w:val="99"/>
    <w:semiHidden/>
    <w:rsid w:val="0087328A"/>
    <w:pPr>
      <w:spacing w:after="0" w:line="240" w:lineRule="auto"/>
    </w:pPr>
  </w:style>
  <w:style w:type="character" w:styleId="FollowedHyperlink">
    <w:name w:val="FollowedHyperlink"/>
    <w:basedOn w:val="DefaultParagraphFont"/>
    <w:uiPriority w:val="99"/>
    <w:semiHidden/>
    <w:unhideWhenUsed/>
    <w:rsid w:val="003E7901"/>
    <w:rPr>
      <w:color w:val="954F72" w:themeColor="followedHyperlink"/>
      <w:u w:val="single"/>
    </w:rPr>
  </w:style>
  <w:style w:type="character" w:customStyle="1" w:styleId="UnresolvedMention2">
    <w:name w:val="Unresolved Mention2"/>
    <w:basedOn w:val="DefaultParagraphFont"/>
    <w:uiPriority w:val="99"/>
    <w:semiHidden/>
    <w:unhideWhenUsed/>
    <w:rsid w:val="00311E41"/>
    <w:rPr>
      <w:color w:val="605E5C"/>
      <w:shd w:val="clear" w:color="auto" w:fill="E1DFDD"/>
    </w:rPr>
  </w:style>
  <w:style w:type="character" w:customStyle="1" w:styleId="UnresolvedMention">
    <w:name w:val="Unresolved Mention"/>
    <w:basedOn w:val="DefaultParagraphFont"/>
    <w:uiPriority w:val="99"/>
    <w:semiHidden/>
    <w:unhideWhenUsed/>
    <w:rsid w:val="006A366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46" Type="http://schemas.microsoft.com/office/2018/08/relationships/commentsExtensible" Target="commentsExtensible.xml"/><Relationship Id="rId47" Type="http://schemas.microsoft.com/office/2011/relationships/people" Target="people.xml"/><Relationship Id="rId20" Type="http://schemas.openxmlformats.org/officeDocument/2006/relationships/hyperlink" Target="https://www.nber.org/papers/w14191" TargetMode="External"/><Relationship Id="rId21" Type="http://schemas.openxmlformats.org/officeDocument/2006/relationships/hyperlink" Target="https://www.nber.org/system/files/working_papers/w16654/w16654.pdf" TargetMode="External"/><Relationship Id="rId22" Type="http://schemas.openxmlformats.org/officeDocument/2006/relationships/hyperlink" Target="https://www.nber.org/papers/w14217" TargetMode="External"/><Relationship Id="rId23" Type="http://schemas.openxmlformats.org/officeDocument/2006/relationships/hyperlink" Target="https://onlinelibrary.wiley.com/doi/abs/10.1111/j.1468-0297.2011.02435.x" TargetMode="External"/><Relationship Id="rId24" Type="http://schemas.openxmlformats.org/officeDocument/2006/relationships/hyperlink" Target="https://www.nber.org/papers/w17619" TargetMode="External"/><Relationship Id="rId25" Type="http://schemas.openxmlformats.org/officeDocument/2006/relationships/hyperlink" Target="https://www.oecd.org/fr/dev/economic-outlook-for-southeast-asia-china-and-india-23101113.htm" TargetMode="External"/><Relationship Id="rId26" Type="http://schemas.openxmlformats.org/officeDocument/2006/relationships/hyperlink" Target="https://www.imf.org/~/media/Files/Publications/REO/WHD/2020/Oct/English/CorporateFinancial.ashx?la=en" TargetMode="External"/><Relationship Id="rId27" Type="http://schemas.openxmlformats.org/officeDocument/2006/relationships/hyperlink" Target="https://voxeu.org/content/monetary-policy-and-central-banking-covid-era" TargetMode="External"/><Relationship Id="rId28" Type="http://schemas.openxmlformats.org/officeDocument/2006/relationships/hyperlink" Target="https://www.worldometers.info/coronavirus/" TargetMode="External"/><Relationship Id="rId29" Type="http://schemas.openxmlformats.org/officeDocument/2006/relationships/hyperlink" Target="https://www.ilo.org/re-Search/informality/map1_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nepra.org.pk/publications/State%20of%20Industry%20Reports/State%20of%20Industry%20Report%202020.pdf" TargetMode="External"/><Relationship Id="rId31" Type="http://schemas.openxmlformats.org/officeDocument/2006/relationships/hyperlink" Target="https://download1.fbr.gov.pk/Docs/20209181193938934TaxDirectoryAnalysisforyearended30June2018.pdf" TargetMode="External"/><Relationship Id="rId32" Type="http://schemas.openxmlformats.org/officeDocument/2006/relationships/hyperlink" Target="https://globalfindex.worldbank.org/" TargetMode="External"/><Relationship Id="rId9" Type="http://schemas.openxmlformats.org/officeDocument/2006/relationships/hyperlink" Target="https://www.imf.org/en/Publications/GFSR/Issues/2020/04/14/global-financial-stability-report-april-2020"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industantimes.com/india-news/lockdown-should-be-last-resort-pm-modi-urges-states-in-address-to-nation-101618929845565.html" TargetMode="External"/><Relationship Id="rId33" Type="http://schemas.openxmlformats.org/officeDocument/2006/relationships/hyperlink" Target="https://www.ons.gov.uk/businessindustryandtrade/business/businessservices/articles/comparisonoffurloughedjobsdata/march2020tojanuary2021" TargetMode="External"/><Relationship Id="rId34" Type="http://schemas.openxmlformats.org/officeDocument/2006/relationships/hyperlink" Target="https://documents1.worldbank.org/curated/en/281531621024684216/pdf/Social-Protection-and-Jobs-Responses-to-COVID-19-A-Real-Time-Review-of-Country-Measures-May-14-2021.pdf" TargetMode="External"/><Relationship Id="rId35" Type="http://schemas.openxmlformats.org/officeDocument/2006/relationships/hyperlink" Target="https://www.imf.org/en/Publications/GFSR" TargetMode="External"/><Relationship Id="rId36" Type="http://schemas.openxmlformats.org/officeDocument/2006/relationships/hyperlink" Target="https://www.bis.org/" TargetMode="External"/><Relationship Id="rId10" Type="http://schemas.openxmlformats.org/officeDocument/2006/relationships/hyperlink" Target="https://www.imf.org/en/Publications/GFSR/Issues/2020/04/14/global-financial-stability-report-april-2020" TargetMode="External"/><Relationship Id="rId11" Type="http://schemas.openxmlformats.org/officeDocument/2006/relationships/image" Target="media/image1.png"/><Relationship Id="rId12" Type="http://schemas.openxmlformats.org/officeDocument/2006/relationships/hyperlink" Target="https://www.imf.org/en/Publications/GFSR/Issues/2020/04/14/global-financial-stability-report-april-2020" TargetMode="External"/><Relationship Id="rId13" Type="http://schemas.openxmlformats.org/officeDocument/2006/relationships/hyperlink" Target="https://www.imf.org/en/Publications/GFSR/Issues/2020/10/13/global-financial-stability-report-october-2020" TargetMode="External"/><Relationship Id="rId14" Type="http://schemas.openxmlformats.org/officeDocument/2006/relationships/image" Target="media/image2.png"/><Relationship Id="rId15" Type="http://schemas.openxmlformats.org/officeDocument/2006/relationships/hyperlink" Target="https://www.imf.org/en/Publications/GFSR/Issues/2021/04/06/global-financial-stability-report-april-2021" TargetMode="External"/><Relationship Id="rId16" Type="http://schemas.openxmlformats.org/officeDocument/2006/relationships/hyperlink" Target="https://academic.oup.com/restud/article/87/6/2754/5834728" TargetMode="External"/><Relationship Id="rId17" Type="http://schemas.openxmlformats.org/officeDocument/2006/relationships/hyperlink" Target="https://www.nber.org/papers/w10780" TargetMode="External"/><Relationship Id="rId18" Type="http://schemas.openxmlformats.org/officeDocument/2006/relationships/hyperlink" Target="https://www.nber.org/books-and-chapters/nber-macroeconomics-annual-1997-volume-12/fiscal-policy-latin-america" TargetMode="External"/><Relationship Id="rId19" Type="http://schemas.openxmlformats.org/officeDocument/2006/relationships/hyperlink" Target="https://www.nber.org/papers/w7499" TargetMode="External"/><Relationship Id="rId37" Type="http://schemas.openxmlformats.org/officeDocument/2006/relationships/hyperlink" Target="https://www.ilo.org/global/research/global-reports/weso/2020/WCMS_734455/lang--en/index.htm" TargetMode="External"/><Relationship Id="rId38" Type="http://schemas.openxmlformats.org/officeDocument/2006/relationships/hyperlink" Target="E://Bristol%20Uni/Econ%20Observatory/Central%20banking%20in%20the%20covid%20era.pdf" TargetMode="External"/><Relationship Id="rId39" Type="http://schemas.openxmlformats.org/officeDocument/2006/relationships/hyperlink" Target="https://www.economicsobservatory.com/how-might-costly-sovereign-debt-default-emerging-economies-be-averted" TargetMode="External"/><Relationship Id="rId40" Type="http://schemas.openxmlformats.org/officeDocument/2006/relationships/hyperlink" Target="https://www.economicsobservatory.com/how-are-firms-emerging-markets-reacting-coronavirus-crisis" TargetMode="External"/><Relationship Id="rId41" Type="http://schemas.openxmlformats.org/officeDocument/2006/relationships/hyperlink" Target="https://www.economicsobservatory.com/how-will-coronavirus-change-global-microfinance-industry" TargetMode="External"/><Relationship Id="rId42" Type="http://schemas.openxmlformats.org/officeDocument/2006/relationships/fontTable" Target="fontTable.xml"/><Relationship Id="rId43" Type="http://schemas.openxmlformats.org/officeDocument/2006/relationships/theme" Target="theme/theme1.xml"/><Relationship Id="rId44" Type="http://schemas.microsoft.com/office/2011/relationships/commentsExtended" Target="commentsExtended.xml"/><Relationship Id="rId4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4530E-9CD6-1240-B42E-82BAC1AC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2890</Words>
  <Characters>16474</Characters>
  <Application>Microsoft Macintosh Word</Application>
  <DocSecurity>0</DocSecurity>
  <Lines>137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pirzada</dc:creator>
  <cp:keywords/>
  <dc:description/>
  <cp:lastModifiedBy>Romesh Vaitilingam</cp:lastModifiedBy>
  <cp:revision>26</cp:revision>
  <dcterms:created xsi:type="dcterms:W3CDTF">2021-06-27T19:53:00Z</dcterms:created>
  <dcterms:modified xsi:type="dcterms:W3CDTF">2021-06-28T16:58:00Z</dcterms:modified>
</cp:coreProperties>
</file>