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9210" w:type="dxa"/>
        <w:tblInd w:w="0" w:type="dxa"/>
        <w:tblLayout w:type="fixed"/>
        <w:tblLook w:val="04A0" w:firstRow="1" w:lastRow="0" w:firstColumn="1" w:lastColumn="0" w:noHBand="0" w:noVBand="1"/>
      </w:tblPr>
      <w:tblGrid>
        <w:gridCol w:w="1535"/>
        <w:gridCol w:w="1535"/>
        <w:gridCol w:w="1535"/>
        <w:gridCol w:w="1535"/>
        <w:gridCol w:w="1535"/>
        <w:gridCol w:w="1535"/>
      </w:tblGrid>
      <w:tr w:rsidR="0018021F" w:rsidRPr="00A3472D" w14:paraId="23B0D36B" w14:textId="77777777" w:rsidTr="000D7B55">
        <w:tc>
          <w:tcPr>
            <w:tcW w:w="15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ABDAC6" w14:textId="77777777" w:rsidR="0018021F" w:rsidRPr="00A3472D" w:rsidRDefault="0018021F" w:rsidP="000D7B55">
            <w:pPr>
              <w:rPr>
                <w:rFonts w:ascii="Spectral" w:hAnsi="Spectral" w:cstheme="minorHAnsi"/>
                <w:b/>
                <w:bCs/>
                <w:sz w:val="20"/>
                <w:szCs w:val="20"/>
              </w:rPr>
            </w:pPr>
            <w:r w:rsidRPr="00A3472D">
              <w:rPr>
                <w:rFonts w:ascii="Spectral" w:hAnsi="Spectral" w:cstheme="minorHAnsi"/>
                <w:b/>
                <w:bCs/>
                <w:sz w:val="20"/>
                <w:szCs w:val="20"/>
              </w:rPr>
              <w:t>Editorial</w:t>
            </w:r>
          </w:p>
        </w:tc>
        <w:tc>
          <w:tcPr>
            <w:tcW w:w="15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F4C675" w14:textId="77777777" w:rsidR="0018021F" w:rsidRPr="00A3472D" w:rsidRDefault="0018021F" w:rsidP="000D7B55">
            <w:pPr>
              <w:rPr>
                <w:rFonts w:ascii="Spectral" w:hAnsi="Spectral" w:cstheme="minorHAnsi"/>
                <w:sz w:val="20"/>
                <w:szCs w:val="20"/>
              </w:rPr>
            </w:pPr>
          </w:p>
        </w:tc>
        <w:tc>
          <w:tcPr>
            <w:tcW w:w="15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46E38F8" w14:textId="77777777" w:rsidR="0018021F" w:rsidRPr="00A3472D" w:rsidRDefault="0018021F" w:rsidP="000D7B55">
            <w:pPr>
              <w:rPr>
                <w:rFonts w:ascii="Spectral" w:hAnsi="Spectral" w:cstheme="minorHAnsi"/>
                <w:sz w:val="20"/>
                <w:szCs w:val="20"/>
              </w:rPr>
            </w:pPr>
          </w:p>
        </w:tc>
        <w:tc>
          <w:tcPr>
            <w:tcW w:w="15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8C39FE" w14:textId="77777777" w:rsidR="0018021F" w:rsidRPr="00A3472D" w:rsidRDefault="0018021F" w:rsidP="000D7B55">
            <w:pPr>
              <w:rPr>
                <w:rFonts w:ascii="Spectral" w:hAnsi="Spectral" w:cstheme="minorHAnsi"/>
                <w:sz w:val="20"/>
                <w:szCs w:val="20"/>
              </w:rPr>
            </w:pPr>
          </w:p>
        </w:tc>
        <w:tc>
          <w:tcPr>
            <w:tcW w:w="15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5998C15" w14:textId="77777777" w:rsidR="0018021F" w:rsidRPr="00A3472D" w:rsidRDefault="0018021F" w:rsidP="000D7B55">
            <w:pPr>
              <w:rPr>
                <w:rFonts w:ascii="Spectral" w:hAnsi="Spectral" w:cstheme="minorHAnsi"/>
                <w:sz w:val="20"/>
                <w:szCs w:val="20"/>
              </w:rPr>
            </w:pPr>
          </w:p>
        </w:tc>
        <w:tc>
          <w:tcPr>
            <w:tcW w:w="15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E9FCE0F" w14:textId="77777777" w:rsidR="0018021F" w:rsidRPr="00A3472D" w:rsidRDefault="0018021F" w:rsidP="000D7B55">
            <w:pPr>
              <w:rPr>
                <w:rFonts w:ascii="Spectral" w:hAnsi="Spectral" w:cstheme="minorHAnsi"/>
                <w:sz w:val="20"/>
                <w:szCs w:val="20"/>
              </w:rPr>
            </w:pPr>
          </w:p>
        </w:tc>
      </w:tr>
      <w:tr w:rsidR="0018021F" w:rsidRPr="00A3472D" w14:paraId="4D845D15" w14:textId="77777777" w:rsidTr="000D7B55">
        <w:tc>
          <w:tcPr>
            <w:tcW w:w="15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AB6BAA" w14:textId="7EEAE0EA" w:rsidR="0018021F" w:rsidRPr="00A3472D" w:rsidRDefault="0018021F" w:rsidP="000D7B55">
            <w:pPr>
              <w:rPr>
                <w:rFonts w:ascii="Spectral" w:hAnsi="Spectral" w:cstheme="minorHAnsi"/>
                <w:sz w:val="20"/>
                <w:szCs w:val="20"/>
              </w:rPr>
            </w:pPr>
            <w:r w:rsidRPr="00A3472D">
              <w:rPr>
                <w:rFonts w:ascii="Spectral" w:hAnsi="Spectral" w:cstheme="minorHAnsi"/>
                <w:sz w:val="20"/>
                <w:szCs w:val="20"/>
              </w:rPr>
              <w:t>Words</w:t>
            </w:r>
            <w:r w:rsidR="00330426">
              <w:rPr>
                <w:rFonts w:ascii="Spectral" w:hAnsi="Spectral" w:cstheme="minorHAnsi"/>
                <w:sz w:val="20"/>
                <w:szCs w:val="20"/>
              </w:rPr>
              <w:t>/Lines</w:t>
            </w:r>
          </w:p>
        </w:tc>
        <w:tc>
          <w:tcPr>
            <w:tcW w:w="15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4E30A6" w14:textId="77777777" w:rsidR="0018021F" w:rsidRPr="00A3472D" w:rsidRDefault="0018021F" w:rsidP="000D7B55">
            <w:pPr>
              <w:rPr>
                <w:rFonts w:ascii="Spectral" w:hAnsi="Spectral" w:cstheme="minorHAnsi"/>
                <w:sz w:val="20"/>
                <w:szCs w:val="20"/>
              </w:rPr>
            </w:pPr>
            <w:r w:rsidRPr="00A3472D">
              <w:rPr>
                <w:rFonts w:ascii="Spectral" w:hAnsi="Spectral" w:cstheme="minorHAnsi"/>
                <w:sz w:val="20"/>
                <w:szCs w:val="20"/>
              </w:rPr>
              <w:t>Authors</w:t>
            </w:r>
          </w:p>
        </w:tc>
        <w:tc>
          <w:tcPr>
            <w:tcW w:w="15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AD2C9E" w14:textId="77777777" w:rsidR="0018021F" w:rsidRPr="00A3472D" w:rsidRDefault="0018021F" w:rsidP="000D7B55">
            <w:pPr>
              <w:rPr>
                <w:rFonts w:ascii="Spectral" w:hAnsi="Spectral" w:cstheme="minorHAnsi"/>
                <w:sz w:val="20"/>
                <w:szCs w:val="20"/>
              </w:rPr>
            </w:pPr>
            <w:r w:rsidRPr="00A3472D">
              <w:rPr>
                <w:rFonts w:ascii="Spectral" w:hAnsi="Spectral" w:cstheme="minorHAnsi"/>
                <w:sz w:val="20"/>
                <w:szCs w:val="20"/>
              </w:rPr>
              <w:t>Ashley/Charlie</w:t>
            </w:r>
          </w:p>
        </w:tc>
        <w:tc>
          <w:tcPr>
            <w:tcW w:w="15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957AD8" w14:textId="77777777" w:rsidR="0018021F" w:rsidRPr="00A3472D" w:rsidRDefault="0018021F" w:rsidP="000D7B55">
            <w:pPr>
              <w:rPr>
                <w:rFonts w:ascii="Spectral" w:hAnsi="Spectral" w:cstheme="minorHAnsi"/>
                <w:sz w:val="20"/>
                <w:szCs w:val="20"/>
              </w:rPr>
            </w:pPr>
            <w:r w:rsidRPr="00A3472D">
              <w:rPr>
                <w:rFonts w:ascii="Spectral" w:hAnsi="Spectral" w:cstheme="minorHAnsi"/>
                <w:sz w:val="20"/>
                <w:szCs w:val="20"/>
              </w:rPr>
              <w:t>Romesh</w:t>
            </w:r>
          </w:p>
        </w:tc>
        <w:tc>
          <w:tcPr>
            <w:tcW w:w="15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969B52" w14:textId="77777777" w:rsidR="0018021F" w:rsidRPr="00A3472D" w:rsidRDefault="0018021F" w:rsidP="000D7B55">
            <w:pPr>
              <w:rPr>
                <w:rFonts w:ascii="Spectral" w:hAnsi="Spectral" w:cstheme="minorHAnsi"/>
                <w:sz w:val="20"/>
                <w:szCs w:val="20"/>
              </w:rPr>
            </w:pPr>
            <w:r w:rsidRPr="00A3472D">
              <w:rPr>
                <w:rFonts w:ascii="Spectral" w:hAnsi="Spectral" w:cstheme="minorHAnsi"/>
                <w:sz w:val="20"/>
                <w:szCs w:val="20"/>
              </w:rPr>
              <w:t>Richard</w:t>
            </w:r>
          </w:p>
        </w:tc>
        <w:tc>
          <w:tcPr>
            <w:tcW w:w="15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D14D03" w14:textId="77777777" w:rsidR="0018021F" w:rsidRPr="00A3472D" w:rsidRDefault="0018021F" w:rsidP="000D7B55">
            <w:pPr>
              <w:rPr>
                <w:rFonts w:ascii="Spectral" w:hAnsi="Spectral" w:cstheme="minorHAnsi"/>
                <w:sz w:val="20"/>
                <w:szCs w:val="20"/>
              </w:rPr>
            </w:pPr>
            <w:r w:rsidRPr="00A3472D">
              <w:rPr>
                <w:rFonts w:ascii="Spectral" w:hAnsi="Spectral" w:cstheme="minorHAnsi"/>
                <w:sz w:val="20"/>
                <w:szCs w:val="20"/>
              </w:rPr>
              <w:t>Chart</w:t>
            </w:r>
          </w:p>
        </w:tc>
      </w:tr>
      <w:tr w:rsidR="0018021F" w:rsidRPr="00A3472D" w14:paraId="364A152B" w14:textId="77777777" w:rsidTr="000D7B55">
        <w:tc>
          <w:tcPr>
            <w:tcW w:w="15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F3C52B" w14:textId="3C41CE99" w:rsidR="0018021F" w:rsidRPr="00A3472D" w:rsidRDefault="00515D26" w:rsidP="000D7B55">
            <w:pPr>
              <w:rPr>
                <w:rFonts w:ascii="Spectral" w:hAnsi="Spectral" w:cstheme="minorHAnsi"/>
                <w:sz w:val="20"/>
                <w:szCs w:val="20"/>
              </w:rPr>
            </w:pPr>
            <w:r>
              <w:rPr>
                <w:rFonts w:ascii="Spectral" w:hAnsi="Spectral" w:cstheme="minorHAnsi"/>
                <w:sz w:val="20"/>
                <w:szCs w:val="20"/>
              </w:rPr>
              <w:t>688 / 100</w:t>
            </w:r>
          </w:p>
        </w:tc>
        <w:tc>
          <w:tcPr>
            <w:tcW w:w="15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DFFAF5" w14:textId="49D7A39F" w:rsidR="0018021F" w:rsidRPr="00A3472D" w:rsidRDefault="0018021F" w:rsidP="000D7B55">
            <w:pPr>
              <w:rPr>
                <w:rFonts w:ascii="Spectral" w:hAnsi="Spectral" w:cstheme="minorHAnsi"/>
                <w:b/>
                <w:bCs/>
                <w:color w:val="00B050"/>
                <w:sz w:val="20"/>
                <w:szCs w:val="20"/>
              </w:rPr>
            </w:pPr>
          </w:p>
        </w:tc>
        <w:tc>
          <w:tcPr>
            <w:tcW w:w="15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AB57E6" w14:textId="606D84AD" w:rsidR="0018021F" w:rsidRPr="00A3472D" w:rsidRDefault="0018021F" w:rsidP="000D7B55">
            <w:pPr>
              <w:rPr>
                <w:rFonts w:ascii="Spectral" w:hAnsi="Spectral" w:cstheme="minorHAnsi"/>
                <w:b/>
                <w:bCs/>
                <w:color w:val="00B050"/>
                <w:sz w:val="20"/>
                <w:szCs w:val="20"/>
              </w:rPr>
            </w:pPr>
          </w:p>
        </w:tc>
        <w:tc>
          <w:tcPr>
            <w:tcW w:w="15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6581D06" w14:textId="77777777" w:rsidR="0018021F" w:rsidRPr="00A3472D" w:rsidRDefault="0018021F" w:rsidP="000D7B55">
            <w:pPr>
              <w:rPr>
                <w:rFonts w:ascii="Spectral" w:hAnsi="Spectral" w:cstheme="minorHAnsi"/>
                <w:sz w:val="20"/>
                <w:szCs w:val="20"/>
              </w:rPr>
            </w:pPr>
          </w:p>
        </w:tc>
        <w:tc>
          <w:tcPr>
            <w:tcW w:w="15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5E3C6F" w14:textId="674935D8" w:rsidR="0018021F" w:rsidRPr="00A3472D" w:rsidRDefault="0018021F" w:rsidP="000D7B55">
            <w:pPr>
              <w:rPr>
                <w:rFonts w:ascii="Spectral" w:hAnsi="Spectral" w:cstheme="minorHAnsi"/>
                <w:sz w:val="20"/>
                <w:szCs w:val="20"/>
              </w:rPr>
            </w:pPr>
          </w:p>
        </w:tc>
        <w:tc>
          <w:tcPr>
            <w:tcW w:w="15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412C37" w14:textId="73EED88F" w:rsidR="0018021F" w:rsidRPr="00A3472D" w:rsidRDefault="0018021F" w:rsidP="000D7B55">
            <w:pPr>
              <w:rPr>
                <w:b/>
                <w:bCs/>
                <w:sz w:val="20"/>
                <w:szCs w:val="20"/>
                <w:lang w:eastAsia="en-GB"/>
              </w:rPr>
            </w:pPr>
          </w:p>
        </w:tc>
      </w:tr>
    </w:tbl>
    <w:p w14:paraId="0120EE2C" w14:textId="77777777" w:rsidR="0018021F" w:rsidRPr="0018021F" w:rsidRDefault="0018021F"/>
    <w:p w14:paraId="5EF614D2" w14:textId="6630D9E3" w:rsidR="0018021F" w:rsidRPr="00330426" w:rsidRDefault="0018021F">
      <w:r>
        <w:rPr>
          <w:b/>
          <w:bCs/>
        </w:rPr>
        <w:t>Fly:</w:t>
      </w:r>
      <w:r w:rsidR="00BD14CC">
        <w:rPr>
          <w:b/>
          <w:bCs/>
        </w:rPr>
        <w:t xml:space="preserve"> </w:t>
      </w:r>
      <w:r w:rsidR="00330426" w:rsidRPr="00330426">
        <w:t xml:space="preserve">OPINION: </w:t>
      </w:r>
      <w:r w:rsidR="00BD14CC" w:rsidRPr="00330426">
        <w:t>Growth and sustainability.</w:t>
      </w:r>
    </w:p>
    <w:p w14:paraId="3BAB15B9" w14:textId="6C8149D7" w:rsidR="00621044" w:rsidRDefault="0018021F">
      <w:pPr>
        <w:rPr>
          <w:b/>
          <w:bCs/>
        </w:rPr>
      </w:pPr>
      <w:r>
        <w:rPr>
          <w:b/>
          <w:bCs/>
        </w:rPr>
        <w:t xml:space="preserve">Title: </w:t>
      </w:r>
      <w:r w:rsidR="00BD14CC" w:rsidRPr="00330426">
        <w:t>Time for a new model?</w:t>
      </w:r>
    </w:p>
    <w:p w14:paraId="4A6B7B0E" w14:textId="707C8178" w:rsidR="0018021F" w:rsidRPr="00720472" w:rsidRDefault="0018021F">
      <w:pPr>
        <w:rPr>
          <w:b/>
          <w:bCs/>
        </w:rPr>
      </w:pPr>
      <w:r>
        <w:rPr>
          <w:b/>
          <w:bCs/>
        </w:rPr>
        <w:t>Rubric:</w:t>
      </w:r>
      <w:r w:rsidR="00371691">
        <w:rPr>
          <w:b/>
          <w:bCs/>
        </w:rPr>
        <w:t xml:space="preserve"> </w:t>
      </w:r>
      <w:r w:rsidR="00371691" w:rsidRPr="00330426">
        <w:t>Carbon efficiency is improving, but far too slowly</w:t>
      </w:r>
      <w:r w:rsidR="00330426" w:rsidRPr="00330426">
        <w:t xml:space="preserve"> to offset climate change</w:t>
      </w:r>
      <w:r w:rsidR="00371691" w:rsidRPr="00330426">
        <w:t>. The only option is to consider lower rate of growth.</w:t>
      </w:r>
      <w:r w:rsidR="00371691">
        <w:rPr>
          <w:b/>
          <w:bCs/>
        </w:rPr>
        <w:t xml:space="preserve"> </w:t>
      </w:r>
    </w:p>
    <w:p w14:paraId="71A0380B" w14:textId="7B9E34FF" w:rsidR="00041007" w:rsidRDefault="0018021F">
      <w:r w:rsidRPr="00330426">
        <w:rPr>
          <w:b/>
          <w:bCs/>
        </w:rPr>
        <w:t>Author:</w:t>
      </w:r>
      <w:r>
        <w:t xml:space="preserve"> </w:t>
      </w:r>
      <w:r w:rsidR="00041007">
        <w:t xml:space="preserve">Tim Jackson </w:t>
      </w:r>
    </w:p>
    <w:p w14:paraId="49E9B70F" w14:textId="3205340C" w:rsidR="00041007" w:rsidRDefault="00041007" w:rsidP="002F7FBC"/>
    <w:p w14:paraId="43E48D15" w14:textId="77777777" w:rsidR="00B030CE" w:rsidRDefault="00B030CE" w:rsidP="002F7FB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tblGrid>
      <w:tr w:rsidR="00330426" w14:paraId="6A0BC07F" w14:textId="77777777" w:rsidTr="00515D26">
        <w:tc>
          <w:tcPr>
            <w:tcW w:w="5387" w:type="dxa"/>
          </w:tcPr>
          <w:p w14:paraId="5C0CA7E8" w14:textId="77777777" w:rsidR="00B030CE" w:rsidRDefault="00330426" w:rsidP="00330426">
            <w:pPr>
              <w:rPr>
                <w:i/>
                <w:iCs/>
              </w:rPr>
            </w:pPr>
            <w:bookmarkStart w:id="0" w:name="_Hlk83973153"/>
            <w:r>
              <w:t xml:space="preserve">When the Club of Rome published </w:t>
            </w:r>
            <w:r>
              <w:rPr>
                <w:i/>
                <w:iCs/>
              </w:rPr>
              <w:t>L</w:t>
            </w:r>
            <w:r w:rsidRPr="004F15CC">
              <w:rPr>
                <w:i/>
                <w:iCs/>
              </w:rPr>
              <w:t>imits to Growth</w:t>
            </w:r>
          </w:p>
          <w:p w14:paraId="1447A990" w14:textId="77777777" w:rsidR="00B030CE" w:rsidRDefault="00330426" w:rsidP="00330426">
            <w:r>
              <w:t>in 1972 the economist Kenneth Boulding remarked</w:t>
            </w:r>
          </w:p>
          <w:bookmarkEnd w:id="0"/>
          <w:p w14:paraId="5D34E6E1" w14:textId="440BD06C" w:rsidR="00330426" w:rsidRDefault="00330426" w:rsidP="00330426">
            <w:r>
              <w:t xml:space="preserve"> to the US Congress that ‘a</w:t>
            </w:r>
            <w:r w:rsidRPr="00621044">
              <w:t xml:space="preserve">nyone who believes exponential growth can go on forever in a finite </w:t>
            </w:r>
            <w:r>
              <w:t>world i</w:t>
            </w:r>
            <w:r w:rsidRPr="00621044">
              <w:t>s either a madman or an economist</w:t>
            </w:r>
            <w:r>
              <w:t>.’ At first it seems like a disparaging reflection on his own profession. But beneath Boulding’s irony lies an important insight into what Greta Thunberg more recently called the ‘</w:t>
            </w:r>
            <w:proofErr w:type="spellStart"/>
            <w:r>
              <w:t>fairytales</w:t>
            </w:r>
            <w:proofErr w:type="spellEnd"/>
            <w:r>
              <w:t xml:space="preserve"> of eternal economic growth’. </w:t>
            </w:r>
          </w:p>
          <w:p w14:paraId="518A22A6" w14:textId="77777777" w:rsidR="00330426" w:rsidRDefault="00330426" w:rsidP="00330426"/>
          <w:p w14:paraId="3B601D23" w14:textId="77777777" w:rsidR="00330426" w:rsidRDefault="00330426" w:rsidP="00330426">
            <w:r>
              <w:t>As global leaders meet in Glasgow to work out how to meet the commitments of the 2015 Paris Agreement, the underlying growth-based economic model has come under renewed and scrutiny. Many will push back on this, but the raw numbers of climate change show why we need engagement and discussion and the highest level on post-growth economics.</w:t>
            </w:r>
          </w:p>
          <w:p w14:paraId="4F783BB4" w14:textId="77777777" w:rsidR="00330426" w:rsidRDefault="00330426" w:rsidP="002F7FBC"/>
          <w:p w14:paraId="4E01D662" w14:textId="77777777" w:rsidR="00515D26" w:rsidRDefault="00515D26" w:rsidP="00515D26">
            <w:r>
              <w:t>…</w:t>
            </w:r>
          </w:p>
          <w:p w14:paraId="378A5AB3" w14:textId="77777777" w:rsidR="00515D26" w:rsidRDefault="00515D26" w:rsidP="00515D26"/>
          <w:p w14:paraId="51C64A7C" w14:textId="77777777" w:rsidR="00515D26" w:rsidRDefault="00515D26" w:rsidP="00515D26">
            <w:r>
              <w:t>First off, it’s worth noting that when economists contend that growth can go on forever it’s because their preferred measure of growth – the gross domestic product or GDP – is often measured in monetary rather than in material terms. Carbon emissions and economic growth are separable, on this view. By ‘decoupling’ one from the other we ought to be able to escape the finite limits that nature seems to impose.</w:t>
            </w:r>
          </w:p>
          <w:p w14:paraId="3F245F7F" w14:textId="77777777" w:rsidR="00515D26" w:rsidRDefault="00515D26" w:rsidP="00515D26">
            <w:pPr>
              <w:rPr>
                <w:noProof/>
              </w:rPr>
            </w:pPr>
          </w:p>
          <w:p w14:paraId="71706CEA" w14:textId="77777777" w:rsidR="00515D26" w:rsidRDefault="00515D26" w:rsidP="00515D26">
            <w:pPr>
              <w:rPr>
                <w:noProof/>
              </w:rPr>
            </w:pPr>
            <w:r>
              <w:t xml:space="preserve">It is vital to distinguish here between </w:t>
            </w:r>
            <w:r w:rsidRPr="0006029E">
              <w:rPr>
                <w:i/>
                <w:iCs/>
              </w:rPr>
              <w:t>relative</w:t>
            </w:r>
            <w:r>
              <w:t xml:space="preserve"> and </w:t>
            </w:r>
            <w:r w:rsidRPr="0006029E">
              <w:rPr>
                <w:i/>
                <w:iCs/>
              </w:rPr>
              <w:t>absolute</w:t>
            </w:r>
            <w:r>
              <w:t xml:space="preserve"> decoupling. </w:t>
            </w:r>
            <w:r w:rsidRPr="007D7843">
              <w:rPr>
                <w:noProof/>
              </w:rPr>
              <w:t xml:space="preserve">The former refers </w:t>
            </w:r>
            <w:r>
              <w:rPr>
                <w:noProof/>
              </w:rPr>
              <w:t>to a</w:t>
            </w:r>
            <w:r w:rsidRPr="007D7843">
              <w:rPr>
                <w:noProof/>
              </w:rPr>
              <w:t xml:space="preserve"> decline </w:t>
            </w:r>
            <w:r>
              <w:rPr>
                <w:noProof/>
              </w:rPr>
              <w:t xml:space="preserve">the carbon intensity of economic output. The latter to an absolute fall in carbon emissions that continues even when output rises. </w:t>
            </w:r>
            <w:r w:rsidRPr="007D7843">
              <w:rPr>
                <w:noProof/>
              </w:rPr>
              <w:t>Put simply, relative decoupling is about doing things more efficiently</w:t>
            </w:r>
            <w:r>
              <w:rPr>
                <w:noProof/>
              </w:rPr>
              <w:t xml:space="preserve">. And </w:t>
            </w:r>
            <w:r w:rsidRPr="007D7843">
              <w:rPr>
                <w:noProof/>
              </w:rPr>
              <w:t xml:space="preserve">since efficiency is one of the things that </w:t>
            </w:r>
            <w:r>
              <w:rPr>
                <w:noProof/>
              </w:rPr>
              <w:t>capitalism is</w:t>
            </w:r>
            <w:r w:rsidRPr="007D7843">
              <w:rPr>
                <w:noProof/>
              </w:rPr>
              <w:t xml:space="preserve"> supposed to be good at, decoupling has a familiar logic and a clear appeal </w:t>
            </w:r>
            <w:r>
              <w:rPr>
                <w:noProof/>
              </w:rPr>
              <w:t xml:space="preserve">to those hoping growth can continue indefinitely. </w:t>
            </w:r>
          </w:p>
          <w:p w14:paraId="010F4ECA" w14:textId="77777777" w:rsidR="00515D26" w:rsidRDefault="00515D26" w:rsidP="00515D26">
            <w:pPr>
              <w:rPr>
                <w:noProof/>
              </w:rPr>
            </w:pPr>
          </w:p>
          <w:p w14:paraId="434E3F93" w14:textId="77777777" w:rsidR="00515D26" w:rsidRDefault="00515D26" w:rsidP="00515D26">
            <w:pPr>
              <w:rPr>
                <w:noProof/>
              </w:rPr>
            </w:pPr>
            <w:r>
              <w:rPr>
                <w:noProof/>
              </w:rPr>
              <w:t xml:space="preserve">It easy to find evidence for relative decoupling, even at the global level. For instance, </w:t>
            </w:r>
            <w:r w:rsidRPr="007D7843">
              <w:rPr>
                <w:noProof/>
              </w:rPr>
              <w:t>the carbon dioxide intensity of the global economy fell from about 760 grams of carbon dioxide per dollar (gCO</w:t>
            </w:r>
            <w:r w:rsidRPr="00627FCF">
              <w:rPr>
                <w:noProof/>
                <w:vertAlign w:val="subscript"/>
              </w:rPr>
              <w:t>2</w:t>
            </w:r>
            <w:r w:rsidRPr="007D7843">
              <w:rPr>
                <w:noProof/>
              </w:rPr>
              <w:t xml:space="preserve">/$) in 1965 to </w:t>
            </w:r>
            <w:r>
              <w:rPr>
                <w:noProof/>
              </w:rPr>
              <w:t>less than</w:t>
            </w:r>
            <w:r w:rsidRPr="007D7843">
              <w:rPr>
                <w:noProof/>
              </w:rPr>
              <w:t xml:space="preserve"> 500 gCO</w:t>
            </w:r>
            <w:r w:rsidRPr="00627FCF">
              <w:rPr>
                <w:noProof/>
                <w:vertAlign w:val="subscript"/>
              </w:rPr>
              <w:t>2</w:t>
            </w:r>
            <w:r w:rsidRPr="007D7843">
              <w:rPr>
                <w:noProof/>
              </w:rPr>
              <w:t xml:space="preserve">/$ </w:t>
            </w:r>
            <w:r>
              <w:rPr>
                <w:noProof/>
              </w:rPr>
              <w:t xml:space="preserve">today, </w:t>
            </w:r>
            <w:r w:rsidRPr="007D7843">
              <w:rPr>
                <w:noProof/>
              </w:rPr>
              <w:t>a</w:t>
            </w:r>
            <w:r>
              <w:rPr>
                <w:noProof/>
              </w:rPr>
              <w:t xml:space="preserve"> </w:t>
            </w:r>
            <w:r w:rsidRPr="007D7843">
              <w:rPr>
                <w:noProof/>
              </w:rPr>
              <w:t xml:space="preserve">decline of 35% in </w:t>
            </w:r>
            <w:r>
              <w:rPr>
                <w:noProof/>
              </w:rPr>
              <w:t xml:space="preserve">little over </w:t>
            </w:r>
            <w:r w:rsidRPr="007D7843">
              <w:rPr>
                <w:noProof/>
              </w:rPr>
              <w:t>half a century</w:t>
            </w:r>
            <w:r>
              <w:rPr>
                <w:noProof/>
              </w:rPr>
              <w:t xml:space="preserve">. </w:t>
            </w:r>
          </w:p>
          <w:p w14:paraId="2BE9B9FB" w14:textId="77777777" w:rsidR="00515D26" w:rsidRDefault="00515D26" w:rsidP="00515D26">
            <w:pPr>
              <w:rPr>
                <w:noProof/>
              </w:rPr>
            </w:pPr>
          </w:p>
          <w:p w14:paraId="40908D61" w14:textId="77777777" w:rsidR="00515D26" w:rsidRPr="00330426" w:rsidRDefault="00515D26" w:rsidP="00515D26">
            <w:pPr>
              <w:rPr>
                <w:b/>
                <w:bCs/>
                <w:noProof/>
                <w:color w:val="FF0000"/>
              </w:rPr>
            </w:pPr>
            <w:r w:rsidRPr="00330426">
              <w:rPr>
                <w:b/>
                <w:bCs/>
                <w:noProof/>
                <w:color w:val="FF0000"/>
              </w:rPr>
              <w:t>NEED CHART OF THIS HERE</w:t>
            </w:r>
          </w:p>
          <w:p w14:paraId="048C88C0" w14:textId="77777777" w:rsidR="00515D26" w:rsidRDefault="00515D26" w:rsidP="00515D26">
            <w:pPr>
              <w:rPr>
                <w:noProof/>
              </w:rPr>
            </w:pPr>
          </w:p>
          <w:p w14:paraId="1E66DE4E" w14:textId="77777777" w:rsidR="00515D26" w:rsidRDefault="00515D26" w:rsidP="00515D26">
            <w:pPr>
              <w:rPr>
                <w:noProof/>
              </w:rPr>
            </w:pPr>
            <w:r>
              <w:rPr>
                <w:noProof/>
              </w:rPr>
              <w:t xml:space="preserve">But </w:t>
            </w:r>
            <w:r w:rsidRPr="007D7843">
              <w:rPr>
                <w:noProof/>
              </w:rPr>
              <w:t>relative decoupling is</w:t>
            </w:r>
            <w:r>
              <w:rPr>
                <w:noProof/>
              </w:rPr>
              <w:t xml:space="preserve"> barely</w:t>
            </w:r>
            <w:r w:rsidRPr="007D7843">
              <w:rPr>
                <w:noProof/>
              </w:rPr>
              <w:t xml:space="preserve"> half the story</w:t>
            </w:r>
            <w:r>
              <w:rPr>
                <w:noProof/>
              </w:rPr>
              <w:t xml:space="preserve">. </w:t>
            </w:r>
            <w:r w:rsidRPr="007D7843">
              <w:rPr>
                <w:noProof/>
              </w:rPr>
              <w:t xml:space="preserve">For </w:t>
            </w:r>
            <w:r>
              <w:rPr>
                <w:noProof/>
              </w:rPr>
              <w:t>efficiency</w:t>
            </w:r>
            <w:r w:rsidRPr="007D7843">
              <w:rPr>
                <w:noProof/>
              </w:rPr>
              <w:t xml:space="preserve"> to </w:t>
            </w:r>
            <w:r>
              <w:rPr>
                <w:noProof/>
              </w:rPr>
              <w:t xml:space="preserve">lead to an absolute fall in emissions, the carbon intensity of the economy must </w:t>
            </w:r>
            <w:r w:rsidRPr="007D7843">
              <w:rPr>
                <w:noProof/>
              </w:rPr>
              <w:t xml:space="preserve">decline </w:t>
            </w:r>
            <w:commentRangeStart w:id="1"/>
            <w:r>
              <w:rPr>
                <w:noProof/>
              </w:rPr>
              <w:t>faster than</w:t>
            </w:r>
            <w:r w:rsidRPr="007D7843">
              <w:rPr>
                <w:noProof/>
              </w:rPr>
              <w:t xml:space="preserve"> </w:t>
            </w:r>
            <w:commentRangeEnd w:id="1"/>
            <w:r>
              <w:rPr>
                <w:rStyle w:val="CommentReference"/>
              </w:rPr>
              <w:commentReference w:id="1"/>
            </w:r>
            <w:r w:rsidRPr="007D7843">
              <w:rPr>
                <w:noProof/>
              </w:rPr>
              <w:t>economic output</w:t>
            </w:r>
            <w:r>
              <w:rPr>
                <w:noProof/>
              </w:rPr>
              <w:t xml:space="preserve"> rises. What’s more, if the economy continues to grow forever, then efficiency must outpace growth indefinitely. And it must do so fast enough to reach net zero before time runs out to keep global temperatures below 1.5</w:t>
            </w:r>
            <w:r w:rsidRPr="00892787">
              <w:rPr>
                <w:noProof/>
                <w:vertAlign w:val="superscript"/>
              </w:rPr>
              <w:t>o</w:t>
            </w:r>
            <w:r>
              <w:rPr>
                <w:noProof/>
              </w:rPr>
              <w:t xml:space="preserve"> or even 2</w:t>
            </w:r>
            <w:r w:rsidRPr="000F3965">
              <w:rPr>
                <w:noProof/>
                <w:vertAlign w:val="superscript"/>
              </w:rPr>
              <w:t xml:space="preserve">o </w:t>
            </w:r>
            <w:r>
              <w:rPr>
                <w:noProof/>
              </w:rPr>
              <w:t xml:space="preserve">above the pre-industrial average. </w:t>
            </w:r>
          </w:p>
          <w:p w14:paraId="6B6B24C9" w14:textId="77777777" w:rsidR="00515D26" w:rsidRDefault="00515D26" w:rsidP="00515D26">
            <w:pPr>
              <w:rPr>
                <w:noProof/>
              </w:rPr>
            </w:pPr>
          </w:p>
          <w:p w14:paraId="086F13AE" w14:textId="77777777" w:rsidR="00515D26" w:rsidRDefault="00515D26" w:rsidP="00515D26">
            <w:pPr>
              <w:rPr>
                <w:noProof/>
              </w:rPr>
            </w:pPr>
            <w:r>
              <w:rPr>
                <w:noProof/>
              </w:rPr>
              <w:t xml:space="preserve">The evidence for that possibility isn’t compelling. The fastest efficiency gains the advanced economies ever made was an average decline in carbon intensity of around 3%. That happened in the years immediately following the oil crises of the 1970s. Today, the rate of decline is barely 1% each year. This is far below the 14% that is needed to avoid runaway climate change. </w:t>
            </w:r>
          </w:p>
          <w:p w14:paraId="2852B9FA" w14:textId="77777777" w:rsidR="00515D26" w:rsidRDefault="00515D26" w:rsidP="00515D26">
            <w:pPr>
              <w:rPr>
                <w:noProof/>
              </w:rPr>
            </w:pPr>
          </w:p>
          <w:p w14:paraId="08B57567" w14:textId="77777777" w:rsidR="00515D26" w:rsidRDefault="00515D26" w:rsidP="00515D26">
            <w:pPr>
              <w:rPr>
                <w:noProof/>
              </w:rPr>
            </w:pPr>
            <w:r>
              <w:rPr>
                <w:noProof/>
              </w:rPr>
              <w:t xml:space="preserve">In the meantime, global carbon emissions are more than three times higher today than they were in 1965 despite the efficiency improvements since that point. Efficiency moved on. But scale outran it. And now we find ourselves running out of time to ensure a liveable climate for our children. </w:t>
            </w:r>
          </w:p>
          <w:p w14:paraId="3465B222" w14:textId="77777777" w:rsidR="00515D26" w:rsidRDefault="00515D26" w:rsidP="00515D26">
            <w:pPr>
              <w:rPr>
                <w:noProof/>
              </w:rPr>
            </w:pPr>
          </w:p>
          <w:p w14:paraId="3C6F814B" w14:textId="77777777" w:rsidR="00515D26" w:rsidRDefault="00515D26" w:rsidP="00515D26">
            <w:pPr>
              <w:rPr>
                <w:noProof/>
              </w:rPr>
            </w:pPr>
            <w:r>
              <w:rPr>
                <w:noProof/>
              </w:rPr>
              <w:t>A recently leaked draft report from Working Group III of the IPCC’s 6</w:t>
            </w:r>
            <w:r w:rsidRPr="00A80716">
              <w:rPr>
                <w:noProof/>
                <w:vertAlign w:val="superscript"/>
              </w:rPr>
              <w:t>th</w:t>
            </w:r>
            <w:r>
              <w:rPr>
                <w:noProof/>
              </w:rPr>
              <w:t xml:space="preserve"> Assessment supports this view. The paper acknowledges that there is little or no room for further economic growth and even suggests that we need to move away from the current capitalist model of economics. </w:t>
            </w:r>
          </w:p>
          <w:p w14:paraId="1CBFE3E7" w14:textId="77777777" w:rsidR="00515D26" w:rsidRDefault="00515D26" w:rsidP="00515D26">
            <w:pPr>
              <w:rPr>
                <w:noProof/>
              </w:rPr>
            </w:pPr>
          </w:p>
          <w:p w14:paraId="0896DD9A" w14:textId="77777777" w:rsidR="00515D26" w:rsidRDefault="00515D26" w:rsidP="00515D26">
            <w:pPr>
              <w:rPr>
                <w:noProof/>
              </w:rPr>
            </w:pPr>
            <w:r>
              <w:rPr>
                <w:noProof/>
              </w:rPr>
              <w:t xml:space="preserve">There’s no doubt that’s a scary proposition. Only a few economists – and even fewer politicians – have challenged the primacy of economic growth. Fewer still have begun to think about how a post-growth economics would work. We’ve been so convinced that growth can go on forever that we’ve built almost all of our financial and political institutions around that assumption. </w:t>
            </w:r>
          </w:p>
          <w:p w14:paraId="1EC017C4" w14:textId="77777777" w:rsidR="00515D26" w:rsidRDefault="00515D26" w:rsidP="00515D26">
            <w:pPr>
              <w:rPr>
                <w:noProof/>
              </w:rPr>
            </w:pPr>
          </w:p>
          <w:p w14:paraId="4A5C843B" w14:textId="77777777" w:rsidR="00515D26" w:rsidRDefault="00515D26" w:rsidP="00515D26">
            <w:pPr>
              <w:rPr>
                <w:noProof/>
              </w:rPr>
            </w:pPr>
            <w:r>
              <w:rPr>
                <w:noProof/>
              </w:rPr>
              <w:t xml:space="preserve">But being frightened to scare the horses is no way to win the race against climate change. Einstein had a different definition of madness from Boulding. Insanity, he said, was doing the same thing over and over and expecting a different outcome. So perhaps it’s time to put a post-growth economics at the heart of the COP26 negotiations. </w:t>
            </w:r>
          </w:p>
          <w:p w14:paraId="5A49B6F4" w14:textId="77777777" w:rsidR="00515D26" w:rsidRDefault="00515D26" w:rsidP="00515D26">
            <w:pPr>
              <w:rPr>
                <w:noProof/>
              </w:rPr>
            </w:pPr>
          </w:p>
          <w:p w14:paraId="7872E017" w14:textId="37F67833" w:rsidR="00515D26" w:rsidRDefault="00515D26" w:rsidP="002F7FBC">
            <w:pPr>
              <w:rPr>
                <w:noProof/>
              </w:rPr>
            </w:pPr>
            <w:r>
              <w:rPr>
                <w:noProof/>
              </w:rPr>
              <w:t xml:space="preserve">Tim Jackson is Director of the Centre for the Understanding of Sustainable Prosperity (CUSP) and the author of </w:t>
            </w:r>
            <w:r w:rsidRPr="00E56A4E">
              <w:rPr>
                <w:i/>
                <w:iCs/>
                <w:noProof/>
              </w:rPr>
              <w:t>Post Growth – life after capitalism</w:t>
            </w:r>
            <w:r>
              <w:rPr>
                <w:noProof/>
              </w:rPr>
              <w:t xml:space="preserve"> (2021, Polity)</w:t>
            </w:r>
          </w:p>
        </w:tc>
      </w:tr>
    </w:tbl>
    <w:p w14:paraId="787696E6" w14:textId="77777777" w:rsidR="00A80716" w:rsidRDefault="00A80716" w:rsidP="00892787">
      <w:pPr>
        <w:rPr>
          <w:noProof/>
        </w:rPr>
      </w:pPr>
    </w:p>
    <w:sectPr w:rsidR="00A80716" w:rsidSect="000551F6">
      <w:headerReference w:type="even" r:id="rId12"/>
      <w:headerReference w:type="default" r:id="rId13"/>
      <w:footerReference w:type="even" r:id="rId14"/>
      <w:footerReference w:type="default" r:id="rId15"/>
      <w:headerReference w:type="first" r:id="rId16"/>
      <w:footerReference w:type="first" r:id="rId17"/>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ichard Davies" w:date="2021-10-01T09:12:00Z" w:initials="RD">
    <w:p w14:paraId="2DC815D2" w14:textId="77777777" w:rsidR="00515D26" w:rsidRDefault="00515D26" w:rsidP="00515D26">
      <w:pPr>
        <w:pStyle w:val="CommentText"/>
      </w:pPr>
      <w:r>
        <w:rPr>
          <w:rStyle w:val="CommentReference"/>
        </w:rPr>
        <w:annotationRef/>
      </w:r>
      <w:r>
        <w:rPr>
          <w:noProof/>
        </w:rPr>
        <w:t xml:space="preserve">Check this one change with him please.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C815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14F7D" w16cex:dateUtc="2021-10-01T08: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C815D2" w16cid:durableId="25014F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076A2" w14:textId="77777777" w:rsidR="000F4905" w:rsidRDefault="000F4905" w:rsidP="00EE382A">
      <w:r>
        <w:separator/>
      </w:r>
    </w:p>
  </w:endnote>
  <w:endnote w:type="continuationSeparator" w:id="0">
    <w:p w14:paraId="72121FBA" w14:textId="77777777" w:rsidR="000F4905" w:rsidRDefault="000F4905" w:rsidP="00EE3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pectral">
    <w:altName w:val="Cambria"/>
    <w:charset w:val="00"/>
    <w:family w:val="roman"/>
    <w:pitch w:val="variable"/>
    <w:sig w:usb0="E000027F" w:usb1="4000E43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98533387"/>
      <w:docPartObj>
        <w:docPartGallery w:val="Page Numbers (Bottom of Page)"/>
        <w:docPartUnique/>
      </w:docPartObj>
    </w:sdtPr>
    <w:sdtEndPr>
      <w:rPr>
        <w:rStyle w:val="PageNumber"/>
      </w:rPr>
    </w:sdtEndPr>
    <w:sdtContent>
      <w:p w14:paraId="3B9173A0" w14:textId="63DEFD50" w:rsidR="00213C1B" w:rsidRDefault="00213C1B" w:rsidP="00F446A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F5B0EF" w14:textId="77777777" w:rsidR="00213C1B" w:rsidRDefault="00213C1B" w:rsidP="00213C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8670069"/>
      <w:docPartObj>
        <w:docPartGallery w:val="Page Numbers (Bottom of Page)"/>
        <w:docPartUnique/>
      </w:docPartObj>
    </w:sdtPr>
    <w:sdtEndPr>
      <w:rPr>
        <w:rStyle w:val="PageNumber"/>
      </w:rPr>
    </w:sdtEndPr>
    <w:sdtContent>
      <w:p w14:paraId="2DCCD15F" w14:textId="46199345" w:rsidR="00213C1B" w:rsidRDefault="00213C1B" w:rsidP="00F446A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7A0C5B0" w14:textId="77777777" w:rsidR="00213C1B" w:rsidRDefault="00213C1B" w:rsidP="00213C1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4EBD8" w14:textId="77777777" w:rsidR="00010BA1" w:rsidRDefault="00010B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7FC5A" w14:textId="77777777" w:rsidR="000F4905" w:rsidRDefault="000F4905" w:rsidP="00EE382A">
      <w:r>
        <w:separator/>
      </w:r>
    </w:p>
  </w:footnote>
  <w:footnote w:type="continuationSeparator" w:id="0">
    <w:p w14:paraId="6C2DD6D1" w14:textId="77777777" w:rsidR="000F4905" w:rsidRDefault="000F4905" w:rsidP="00EE38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EE71" w14:textId="77777777" w:rsidR="00010BA1" w:rsidRDefault="00010B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57448" w14:textId="7F71678E" w:rsidR="001E1C0D" w:rsidRPr="001E1C0D" w:rsidRDefault="001E1C0D" w:rsidP="001E1C0D">
    <w:pPr>
      <w:pStyle w:val="Header"/>
      <w:jc w:val="center"/>
      <w:rPr>
        <w:i/>
        <w:iCs/>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71D6" w14:textId="77777777" w:rsidR="00010BA1" w:rsidRDefault="00010B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75DFE"/>
    <w:multiLevelType w:val="hybridMultilevel"/>
    <w:tmpl w:val="C3702330"/>
    <w:lvl w:ilvl="0" w:tplc="06CC44B2">
      <w:start w:val="1"/>
      <w:numFmt w:val="decimal"/>
      <w:lvlText w:val="(%1)"/>
      <w:lvlJc w:val="left"/>
      <w:pPr>
        <w:ind w:left="1220" w:hanging="8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chard Davies">
    <w15:presenceInfo w15:providerId="AD" w15:userId="S::hi19329@bristol.ac.uk::a6fea05a-91c8-4b75-ac79-173b4f3a34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044"/>
    <w:rsid w:val="0001009E"/>
    <w:rsid w:val="00010BA1"/>
    <w:rsid w:val="00040E20"/>
    <w:rsid w:val="00041007"/>
    <w:rsid w:val="000551F6"/>
    <w:rsid w:val="0005535F"/>
    <w:rsid w:val="00057783"/>
    <w:rsid w:val="0006029E"/>
    <w:rsid w:val="0006623B"/>
    <w:rsid w:val="00071701"/>
    <w:rsid w:val="000932F0"/>
    <w:rsid w:val="000A63CE"/>
    <w:rsid w:val="000E23EA"/>
    <w:rsid w:val="000F3965"/>
    <w:rsid w:val="000F4905"/>
    <w:rsid w:val="000F57D0"/>
    <w:rsid w:val="00100343"/>
    <w:rsid w:val="00112544"/>
    <w:rsid w:val="001216B4"/>
    <w:rsid w:val="001269BF"/>
    <w:rsid w:val="00127DD5"/>
    <w:rsid w:val="00161C6C"/>
    <w:rsid w:val="00173874"/>
    <w:rsid w:val="0018021F"/>
    <w:rsid w:val="001C453F"/>
    <w:rsid w:val="001D0B3A"/>
    <w:rsid w:val="001E0D09"/>
    <w:rsid w:val="001E1C0D"/>
    <w:rsid w:val="00211887"/>
    <w:rsid w:val="00213C1B"/>
    <w:rsid w:val="002222A4"/>
    <w:rsid w:val="0023134E"/>
    <w:rsid w:val="00270D99"/>
    <w:rsid w:val="00275458"/>
    <w:rsid w:val="00292002"/>
    <w:rsid w:val="002977DD"/>
    <w:rsid w:val="002C2488"/>
    <w:rsid w:val="002C76E8"/>
    <w:rsid w:val="002D1B07"/>
    <w:rsid w:val="002F6E17"/>
    <w:rsid w:val="002F7FBC"/>
    <w:rsid w:val="00304EF2"/>
    <w:rsid w:val="00330426"/>
    <w:rsid w:val="00342441"/>
    <w:rsid w:val="00351BAA"/>
    <w:rsid w:val="0035741D"/>
    <w:rsid w:val="00371691"/>
    <w:rsid w:val="00377E69"/>
    <w:rsid w:val="003966E3"/>
    <w:rsid w:val="003C1DE2"/>
    <w:rsid w:val="003C3C6A"/>
    <w:rsid w:val="00416C59"/>
    <w:rsid w:val="00425388"/>
    <w:rsid w:val="00477B1A"/>
    <w:rsid w:val="004B3A54"/>
    <w:rsid w:val="004C1AEE"/>
    <w:rsid w:val="004E04E7"/>
    <w:rsid w:val="004E0BE1"/>
    <w:rsid w:val="004F15CC"/>
    <w:rsid w:val="005041FE"/>
    <w:rsid w:val="005137B0"/>
    <w:rsid w:val="00515D26"/>
    <w:rsid w:val="005615E5"/>
    <w:rsid w:val="005673A7"/>
    <w:rsid w:val="00575838"/>
    <w:rsid w:val="00581D2C"/>
    <w:rsid w:val="00587EA4"/>
    <w:rsid w:val="006131E6"/>
    <w:rsid w:val="00621044"/>
    <w:rsid w:val="00623C5D"/>
    <w:rsid w:val="00627FCF"/>
    <w:rsid w:val="00637394"/>
    <w:rsid w:val="00637A27"/>
    <w:rsid w:val="00643F79"/>
    <w:rsid w:val="00660510"/>
    <w:rsid w:val="00673F62"/>
    <w:rsid w:val="006A2A2A"/>
    <w:rsid w:val="006B735C"/>
    <w:rsid w:val="006C4DB7"/>
    <w:rsid w:val="00701C72"/>
    <w:rsid w:val="00720472"/>
    <w:rsid w:val="00724E3E"/>
    <w:rsid w:val="00756A54"/>
    <w:rsid w:val="00781366"/>
    <w:rsid w:val="007831AD"/>
    <w:rsid w:val="00795D33"/>
    <w:rsid w:val="007E09C4"/>
    <w:rsid w:val="007E680A"/>
    <w:rsid w:val="00813762"/>
    <w:rsid w:val="00813A6D"/>
    <w:rsid w:val="00821F99"/>
    <w:rsid w:val="00892787"/>
    <w:rsid w:val="008C60F9"/>
    <w:rsid w:val="00923391"/>
    <w:rsid w:val="00947A08"/>
    <w:rsid w:val="00947FDE"/>
    <w:rsid w:val="00977020"/>
    <w:rsid w:val="00985449"/>
    <w:rsid w:val="00986474"/>
    <w:rsid w:val="00986B39"/>
    <w:rsid w:val="00997C5D"/>
    <w:rsid w:val="009A1445"/>
    <w:rsid w:val="009A48B6"/>
    <w:rsid w:val="009A6D09"/>
    <w:rsid w:val="009E6132"/>
    <w:rsid w:val="00A02B41"/>
    <w:rsid w:val="00A0769F"/>
    <w:rsid w:val="00A1108A"/>
    <w:rsid w:val="00A530DD"/>
    <w:rsid w:val="00A7061C"/>
    <w:rsid w:val="00A80716"/>
    <w:rsid w:val="00A954CD"/>
    <w:rsid w:val="00AB1339"/>
    <w:rsid w:val="00AD2978"/>
    <w:rsid w:val="00AE38D7"/>
    <w:rsid w:val="00AE6BCB"/>
    <w:rsid w:val="00B02C7A"/>
    <w:rsid w:val="00B030CE"/>
    <w:rsid w:val="00B410B2"/>
    <w:rsid w:val="00B418FD"/>
    <w:rsid w:val="00B41F7D"/>
    <w:rsid w:val="00B61308"/>
    <w:rsid w:val="00B6412E"/>
    <w:rsid w:val="00B836A7"/>
    <w:rsid w:val="00B84D08"/>
    <w:rsid w:val="00BC737F"/>
    <w:rsid w:val="00BD14CC"/>
    <w:rsid w:val="00BF1851"/>
    <w:rsid w:val="00BF789C"/>
    <w:rsid w:val="00C057F7"/>
    <w:rsid w:val="00C4130D"/>
    <w:rsid w:val="00C451AB"/>
    <w:rsid w:val="00C71C06"/>
    <w:rsid w:val="00C7605C"/>
    <w:rsid w:val="00C873D6"/>
    <w:rsid w:val="00C91BA4"/>
    <w:rsid w:val="00CA72D1"/>
    <w:rsid w:val="00CD5168"/>
    <w:rsid w:val="00D026D2"/>
    <w:rsid w:val="00D3737F"/>
    <w:rsid w:val="00D40098"/>
    <w:rsid w:val="00D5025B"/>
    <w:rsid w:val="00D70419"/>
    <w:rsid w:val="00D70E15"/>
    <w:rsid w:val="00DA6AF7"/>
    <w:rsid w:val="00DB0410"/>
    <w:rsid w:val="00DC1CDF"/>
    <w:rsid w:val="00DD6580"/>
    <w:rsid w:val="00E17775"/>
    <w:rsid w:val="00E2088B"/>
    <w:rsid w:val="00E210AB"/>
    <w:rsid w:val="00E3404E"/>
    <w:rsid w:val="00E56A4E"/>
    <w:rsid w:val="00E855E3"/>
    <w:rsid w:val="00EA17D4"/>
    <w:rsid w:val="00EC4B00"/>
    <w:rsid w:val="00EE0049"/>
    <w:rsid w:val="00EE382A"/>
    <w:rsid w:val="00F0153F"/>
    <w:rsid w:val="00F13FDF"/>
    <w:rsid w:val="00F25C25"/>
    <w:rsid w:val="00F369A4"/>
    <w:rsid w:val="00F42385"/>
    <w:rsid w:val="00F60B72"/>
    <w:rsid w:val="00F804F4"/>
    <w:rsid w:val="00F80F34"/>
    <w:rsid w:val="00F82068"/>
    <w:rsid w:val="00F93A52"/>
    <w:rsid w:val="00FD4A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95E6737"/>
  <w14:defaultImageDpi w14:val="32767"/>
  <w15:chartTrackingRefBased/>
  <w15:docId w15:val="{30E32386-A835-EA4F-BB5F-664E43972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B02C7A"/>
    <w:rPr>
      <w:sz w:val="20"/>
    </w:rPr>
  </w:style>
  <w:style w:type="character" w:customStyle="1" w:styleId="FootnoteTextChar">
    <w:name w:val="Footnote Text Char"/>
    <w:basedOn w:val="DefaultParagraphFont"/>
    <w:link w:val="FootnoteText"/>
    <w:uiPriority w:val="99"/>
    <w:rsid w:val="00B02C7A"/>
    <w:rPr>
      <w:sz w:val="20"/>
    </w:rPr>
  </w:style>
  <w:style w:type="character" w:styleId="Hyperlink">
    <w:name w:val="Hyperlink"/>
    <w:basedOn w:val="DefaultParagraphFont"/>
    <w:uiPriority w:val="99"/>
    <w:rsid w:val="00EE382A"/>
    <w:rPr>
      <w:color w:val="0000FF"/>
      <w:u w:val="single"/>
    </w:rPr>
  </w:style>
  <w:style w:type="paragraph" w:styleId="EndnoteText">
    <w:name w:val="endnote text"/>
    <w:basedOn w:val="Normal"/>
    <w:link w:val="EndnoteTextChar"/>
    <w:semiHidden/>
    <w:rsid w:val="00EE382A"/>
    <w:rPr>
      <w:rFonts w:ascii="Times New Roman" w:eastAsia="Times New Roman" w:hAnsi="Times New Roman" w:cs="Times New Roman"/>
      <w:sz w:val="20"/>
      <w:szCs w:val="20"/>
      <w:lang w:eastAsia="en-GB"/>
    </w:rPr>
  </w:style>
  <w:style w:type="character" w:customStyle="1" w:styleId="EndnoteTextChar">
    <w:name w:val="Endnote Text Char"/>
    <w:basedOn w:val="DefaultParagraphFont"/>
    <w:link w:val="EndnoteText"/>
    <w:semiHidden/>
    <w:rsid w:val="00EE382A"/>
    <w:rPr>
      <w:rFonts w:ascii="Times New Roman" w:eastAsia="Times New Roman" w:hAnsi="Times New Roman" w:cs="Times New Roman"/>
      <w:sz w:val="20"/>
      <w:szCs w:val="20"/>
      <w:lang w:eastAsia="en-GB"/>
    </w:rPr>
  </w:style>
  <w:style w:type="character" w:styleId="EndnoteReference">
    <w:name w:val="endnote reference"/>
    <w:basedOn w:val="DefaultParagraphFont"/>
    <w:uiPriority w:val="99"/>
    <w:semiHidden/>
    <w:rsid w:val="00EE382A"/>
    <w:rPr>
      <w:vertAlign w:val="superscript"/>
    </w:rPr>
  </w:style>
  <w:style w:type="paragraph" w:styleId="ListParagraph">
    <w:name w:val="List Paragraph"/>
    <w:basedOn w:val="Normal"/>
    <w:uiPriority w:val="34"/>
    <w:qFormat/>
    <w:rsid w:val="00575838"/>
    <w:pPr>
      <w:ind w:left="720"/>
      <w:contextualSpacing/>
    </w:pPr>
  </w:style>
  <w:style w:type="character" w:styleId="UnresolvedMention">
    <w:name w:val="Unresolved Mention"/>
    <w:basedOn w:val="DefaultParagraphFont"/>
    <w:uiPriority w:val="99"/>
    <w:rsid w:val="00112544"/>
    <w:rPr>
      <w:color w:val="605E5C"/>
      <w:shd w:val="clear" w:color="auto" w:fill="E1DFDD"/>
    </w:rPr>
  </w:style>
  <w:style w:type="character" w:styleId="FollowedHyperlink">
    <w:name w:val="FollowedHyperlink"/>
    <w:basedOn w:val="DefaultParagraphFont"/>
    <w:uiPriority w:val="99"/>
    <w:semiHidden/>
    <w:unhideWhenUsed/>
    <w:rsid w:val="00112544"/>
    <w:rPr>
      <w:color w:val="954F72" w:themeColor="followedHyperlink"/>
      <w:u w:val="single"/>
    </w:rPr>
  </w:style>
  <w:style w:type="paragraph" w:styleId="Footer">
    <w:name w:val="footer"/>
    <w:basedOn w:val="Normal"/>
    <w:link w:val="FooterChar"/>
    <w:uiPriority w:val="99"/>
    <w:unhideWhenUsed/>
    <w:rsid w:val="00213C1B"/>
    <w:pPr>
      <w:tabs>
        <w:tab w:val="center" w:pos="4680"/>
        <w:tab w:val="right" w:pos="9360"/>
      </w:tabs>
    </w:pPr>
  </w:style>
  <w:style w:type="character" w:customStyle="1" w:styleId="FooterChar">
    <w:name w:val="Footer Char"/>
    <w:basedOn w:val="DefaultParagraphFont"/>
    <w:link w:val="Footer"/>
    <w:uiPriority w:val="99"/>
    <w:rsid w:val="00213C1B"/>
  </w:style>
  <w:style w:type="character" w:styleId="PageNumber">
    <w:name w:val="page number"/>
    <w:basedOn w:val="DefaultParagraphFont"/>
    <w:uiPriority w:val="99"/>
    <w:semiHidden/>
    <w:unhideWhenUsed/>
    <w:rsid w:val="00213C1B"/>
  </w:style>
  <w:style w:type="paragraph" w:styleId="Header">
    <w:name w:val="header"/>
    <w:basedOn w:val="Normal"/>
    <w:link w:val="HeaderChar"/>
    <w:uiPriority w:val="99"/>
    <w:unhideWhenUsed/>
    <w:rsid w:val="001E1C0D"/>
    <w:pPr>
      <w:tabs>
        <w:tab w:val="center" w:pos="4680"/>
        <w:tab w:val="right" w:pos="9360"/>
      </w:tabs>
    </w:pPr>
  </w:style>
  <w:style w:type="character" w:customStyle="1" w:styleId="HeaderChar">
    <w:name w:val="Header Char"/>
    <w:basedOn w:val="DefaultParagraphFont"/>
    <w:link w:val="Header"/>
    <w:uiPriority w:val="99"/>
    <w:rsid w:val="001E1C0D"/>
  </w:style>
  <w:style w:type="table" w:styleId="TableGridLight">
    <w:name w:val="Grid Table Light"/>
    <w:basedOn w:val="TableNormal"/>
    <w:uiPriority w:val="40"/>
    <w:rsid w:val="0018021F"/>
    <w:rPr>
      <w:sz w:val="22"/>
      <w:szCs w:val="22"/>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371691"/>
    <w:rPr>
      <w:sz w:val="16"/>
      <w:szCs w:val="16"/>
    </w:rPr>
  </w:style>
  <w:style w:type="paragraph" w:styleId="CommentText">
    <w:name w:val="annotation text"/>
    <w:basedOn w:val="Normal"/>
    <w:link w:val="CommentTextChar"/>
    <w:uiPriority w:val="99"/>
    <w:semiHidden/>
    <w:unhideWhenUsed/>
    <w:rsid w:val="00371691"/>
    <w:rPr>
      <w:sz w:val="20"/>
      <w:szCs w:val="20"/>
    </w:rPr>
  </w:style>
  <w:style w:type="character" w:customStyle="1" w:styleId="CommentTextChar">
    <w:name w:val="Comment Text Char"/>
    <w:basedOn w:val="DefaultParagraphFont"/>
    <w:link w:val="CommentText"/>
    <w:uiPriority w:val="99"/>
    <w:semiHidden/>
    <w:rsid w:val="00371691"/>
    <w:rPr>
      <w:sz w:val="20"/>
      <w:szCs w:val="20"/>
    </w:rPr>
  </w:style>
  <w:style w:type="paragraph" w:styleId="CommentSubject">
    <w:name w:val="annotation subject"/>
    <w:basedOn w:val="CommentText"/>
    <w:next w:val="CommentText"/>
    <w:link w:val="CommentSubjectChar"/>
    <w:uiPriority w:val="99"/>
    <w:semiHidden/>
    <w:unhideWhenUsed/>
    <w:rsid w:val="00371691"/>
    <w:rPr>
      <w:b/>
      <w:bCs/>
    </w:rPr>
  </w:style>
  <w:style w:type="character" w:customStyle="1" w:styleId="CommentSubjectChar">
    <w:name w:val="Comment Subject Char"/>
    <w:basedOn w:val="CommentTextChar"/>
    <w:link w:val="CommentSubject"/>
    <w:uiPriority w:val="99"/>
    <w:semiHidden/>
    <w:rsid w:val="00371691"/>
    <w:rPr>
      <w:b/>
      <w:bCs/>
      <w:sz w:val="20"/>
      <w:szCs w:val="20"/>
    </w:rPr>
  </w:style>
  <w:style w:type="paragraph" w:styleId="Revision">
    <w:name w:val="Revision"/>
    <w:hidden/>
    <w:uiPriority w:val="99"/>
    <w:semiHidden/>
    <w:rsid w:val="00371691"/>
  </w:style>
  <w:style w:type="table" w:styleId="TableGrid">
    <w:name w:val="Table Grid"/>
    <w:basedOn w:val="TableNormal"/>
    <w:uiPriority w:val="39"/>
    <w:rsid w:val="003304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32131">
      <w:bodyDiv w:val="1"/>
      <w:marLeft w:val="0"/>
      <w:marRight w:val="0"/>
      <w:marTop w:val="0"/>
      <w:marBottom w:val="0"/>
      <w:divBdr>
        <w:top w:val="none" w:sz="0" w:space="0" w:color="auto"/>
        <w:left w:val="none" w:sz="0" w:space="0" w:color="auto"/>
        <w:bottom w:val="none" w:sz="0" w:space="0" w:color="auto"/>
        <w:right w:val="none" w:sz="0" w:space="0" w:color="auto"/>
      </w:divBdr>
    </w:div>
    <w:div w:id="208342475">
      <w:bodyDiv w:val="1"/>
      <w:marLeft w:val="0"/>
      <w:marRight w:val="0"/>
      <w:marTop w:val="0"/>
      <w:marBottom w:val="0"/>
      <w:divBdr>
        <w:top w:val="none" w:sz="0" w:space="0" w:color="auto"/>
        <w:left w:val="none" w:sz="0" w:space="0" w:color="auto"/>
        <w:bottom w:val="none" w:sz="0" w:space="0" w:color="auto"/>
        <w:right w:val="none" w:sz="0" w:space="0" w:color="auto"/>
      </w:divBdr>
    </w:div>
    <w:div w:id="214663065">
      <w:bodyDiv w:val="1"/>
      <w:marLeft w:val="0"/>
      <w:marRight w:val="0"/>
      <w:marTop w:val="0"/>
      <w:marBottom w:val="0"/>
      <w:divBdr>
        <w:top w:val="none" w:sz="0" w:space="0" w:color="auto"/>
        <w:left w:val="none" w:sz="0" w:space="0" w:color="auto"/>
        <w:bottom w:val="none" w:sz="0" w:space="0" w:color="auto"/>
        <w:right w:val="none" w:sz="0" w:space="0" w:color="auto"/>
      </w:divBdr>
    </w:div>
    <w:div w:id="243153108">
      <w:bodyDiv w:val="1"/>
      <w:marLeft w:val="0"/>
      <w:marRight w:val="0"/>
      <w:marTop w:val="0"/>
      <w:marBottom w:val="0"/>
      <w:divBdr>
        <w:top w:val="none" w:sz="0" w:space="0" w:color="auto"/>
        <w:left w:val="none" w:sz="0" w:space="0" w:color="auto"/>
        <w:bottom w:val="none" w:sz="0" w:space="0" w:color="auto"/>
        <w:right w:val="none" w:sz="0" w:space="0" w:color="auto"/>
      </w:divBdr>
    </w:div>
    <w:div w:id="520974697">
      <w:bodyDiv w:val="1"/>
      <w:marLeft w:val="0"/>
      <w:marRight w:val="0"/>
      <w:marTop w:val="0"/>
      <w:marBottom w:val="0"/>
      <w:divBdr>
        <w:top w:val="none" w:sz="0" w:space="0" w:color="auto"/>
        <w:left w:val="none" w:sz="0" w:space="0" w:color="auto"/>
        <w:bottom w:val="none" w:sz="0" w:space="0" w:color="auto"/>
        <w:right w:val="none" w:sz="0" w:space="0" w:color="auto"/>
      </w:divBdr>
    </w:div>
    <w:div w:id="629550125">
      <w:bodyDiv w:val="1"/>
      <w:marLeft w:val="0"/>
      <w:marRight w:val="0"/>
      <w:marTop w:val="0"/>
      <w:marBottom w:val="0"/>
      <w:divBdr>
        <w:top w:val="none" w:sz="0" w:space="0" w:color="auto"/>
        <w:left w:val="none" w:sz="0" w:space="0" w:color="auto"/>
        <w:bottom w:val="none" w:sz="0" w:space="0" w:color="auto"/>
        <w:right w:val="none" w:sz="0" w:space="0" w:color="auto"/>
      </w:divBdr>
    </w:div>
    <w:div w:id="770861299">
      <w:bodyDiv w:val="1"/>
      <w:marLeft w:val="0"/>
      <w:marRight w:val="0"/>
      <w:marTop w:val="0"/>
      <w:marBottom w:val="0"/>
      <w:divBdr>
        <w:top w:val="none" w:sz="0" w:space="0" w:color="auto"/>
        <w:left w:val="none" w:sz="0" w:space="0" w:color="auto"/>
        <w:bottom w:val="none" w:sz="0" w:space="0" w:color="auto"/>
        <w:right w:val="none" w:sz="0" w:space="0" w:color="auto"/>
      </w:divBdr>
    </w:div>
    <w:div w:id="831414864">
      <w:bodyDiv w:val="1"/>
      <w:marLeft w:val="0"/>
      <w:marRight w:val="0"/>
      <w:marTop w:val="0"/>
      <w:marBottom w:val="0"/>
      <w:divBdr>
        <w:top w:val="none" w:sz="0" w:space="0" w:color="auto"/>
        <w:left w:val="none" w:sz="0" w:space="0" w:color="auto"/>
        <w:bottom w:val="none" w:sz="0" w:space="0" w:color="auto"/>
        <w:right w:val="none" w:sz="0" w:space="0" w:color="auto"/>
      </w:divBdr>
    </w:div>
    <w:div w:id="876551790">
      <w:bodyDiv w:val="1"/>
      <w:marLeft w:val="0"/>
      <w:marRight w:val="0"/>
      <w:marTop w:val="0"/>
      <w:marBottom w:val="0"/>
      <w:divBdr>
        <w:top w:val="none" w:sz="0" w:space="0" w:color="auto"/>
        <w:left w:val="none" w:sz="0" w:space="0" w:color="auto"/>
        <w:bottom w:val="none" w:sz="0" w:space="0" w:color="auto"/>
        <w:right w:val="none" w:sz="0" w:space="0" w:color="auto"/>
      </w:divBdr>
    </w:div>
    <w:div w:id="996152420">
      <w:bodyDiv w:val="1"/>
      <w:marLeft w:val="0"/>
      <w:marRight w:val="0"/>
      <w:marTop w:val="0"/>
      <w:marBottom w:val="0"/>
      <w:divBdr>
        <w:top w:val="none" w:sz="0" w:space="0" w:color="auto"/>
        <w:left w:val="none" w:sz="0" w:space="0" w:color="auto"/>
        <w:bottom w:val="none" w:sz="0" w:space="0" w:color="auto"/>
        <w:right w:val="none" w:sz="0" w:space="0" w:color="auto"/>
      </w:divBdr>
    </w:div>
    <w:div w:id="1017542966">
      <w:bodyDiv w:val="1"/>
      <w:marLeft w:val="0"/>
      <w:marRight w:val="0"/>
      <w:marTop w:val="0"/>
      <w:marBottom w:val="0"/>
      <w:divBdr>
        <w:top w:val="none" w:sz="0" w:space="0" w:color="auto"/>
        <w:left w:val="none" w:sz="0" w:space="0" w:color="auto"/>
        <w:bottom w:val="none" w:sz="0" w:space="0" w:color="auto"/>
        <w:right w:val="none" w:sz="0" w:space="0" w:color="auto"/>
      </w:divBdr>
    </w:div>
    <w:div w:id="1030379014">
      <w:bodyDiv w:val="1"/>
      <w:marLeft w:val="0"/>
      <w:marRight w:val="0"/>
      <w:marTop w:val="0"/>
      <w:marBottom w:val="0"/>
      <w:divBdr>
        <w:top w:val="none" w:sz="0" w:space="0" w:color="auto"/>
        <w:left w:val="none" w:sz="0" w:space="0" w:color="auto"/>
        <w:bottom w:val="none" w:sz="0" w:space="0" w:color="auto"/>
        <w:right w:val="none" w:sz="0" w:space="0" w:color="auto"/>
      </w:divBdr>
    </w:div>
    <w:div w:id="1093280934">
      <w:bodyDiv w:val="1"/>
      <w:marLeft w:val="0"/>
      <w:marRight w:val="0"/>
      <w:marTop w:val="0"/>
      <w:marBottom w:val="0"/>
      <w:divBdr>
        <w:top w:val="none" w:sz="0" w:space="0" w:color="auto"/>
        <w:left w:val="none" w:sz="0" w:space="0" w:color="auto"/>
        <w:bottom w:val="none" w:sz="0" w:space="0" w:color="auto"/>
        <w:right w:val="none" w:sz="0" w:space="0" w:color="auto"/>
      </w:divBdr>
    </w:div>
    <w:div w:id="1133866531">
      <w:bodyDiv w:val="1"/>
      <w:marLeft w:val="0"/>
      <w:marRight w:val="0"/>
      <w:marTop w:val="0"/>
      <w:marBottom w:val="0"/>
      <w:divBdr>
        <w:top w:val="none" w:sz="0" w:space="0" w:color="auto"/>
        <w:left w:val="none" w:sz="0" w:space="0" w:color="auto"/>
        <w:bottom w:val="none" w:sz="0" w:space="0" w:color="auto"/>
        <w:right w:val="none" w:sz="0" w:space="0" w:color="auto"/>
      </w:divBdr>
    </w:div>
    <w:div w:id="1217737181">
      <w:bodyDiv w:val="1"/>
      <w:marLeft w:val="0"/>
      <w:marRight w:val="0"/>
      <w:marTop w:val="0"/>
      <w:marBottom w:val="0"/>
      <w:divBdr>
        <w:top w:val="none" w:sz="0" w:space="0" w:color="auto"/>
        <w:left w:val="none" w:sz="0" w:space="0" w:color="auto"/>
        <w:bottom w:val="none" w:sz="0" w:space="0" w:color="auto"/>
        <w:right w:val="none" w:sz="0" w:space="0" w:color="auto"/>
      </w:divBdr>
    </w:div>
    <w:div w:id="1244679769">
      <w:bodyDiv w:val="1"/>
      <w:marLeft w:val="0"/>
      <w:marRight w:val="0"/>
      <w:marTop w:val="0"/>
      <w:marBottom w:val="0"/>
      <w:divBdr>
        <w:top w:val="none" w:sz="0" w:space="0" w:color="auto"/>
        <w:left w:val="none" w:sz="0" w:space="0" w:color="auto"/>
        <w:bottom w:val="none" w:sz="0" w:space="0" w:color="auto"/>
        <w:right w:val="none" w:sz="0" w:space="0" w:color="auto"/>
      </w:divBdr>
    </w:div>
    <w:div w:id="1318338532">
      <w:bodyDiv w:val="1"/>
      <w:marLeft w:val="0"/>
      <w:marRight w:val="0"/>
      <w:marTop w:val="0"/>
      <w:marBottom w:val="0"/>
      <w:divBdr>
        <w:top w:val="none" w:sz="0" w:space="0" w:color="auto"/>
        <w:left w:val="none" w:sz="0" w:space="0" w:color="auto"/>
        <w:bottom w:val="none" w:sz="0" w:space="0" w:color="auto"/>
        <w:right w:val="none" w:sz="0" w:space="0" w:color="auto"/>
      </w:divBdr>
    </w:div>
    <w:div w:id="1444691888">
      <w:bodyDiv w:val="1"/>
      <w:marLeft w:val="0"/>
      <w:marRight w:val="0"/>
      <w:marTop w:val="0"/>
      <w:marBottom w:val="0"/>
      <w:divBdr>
        <w:top w:val="none" w:sz="0" w:space="0" w:color="auto"/>
        <w:left w:val="none" w:sz="0" w:space="0" w:color="auto"/>
        <w:bottom w:val="none" w:sz="0" w:space="0" w:color="auto"/>
        <w:right w:val="none" w:sz="0" w:space="0" w:color="auto"/>
      </w:divBdr>
    </w:div>
    <w:div w:id="1839535090">
      <w:bodyDiv w:val="1"/>
      <w:marLeft w:val="0"/>
      <w:marRight w:val="0"/>
      <w:marTop w:val="0"/>
      <w:marBottom w:val="0"/>
      <w:divBdr>
        <w:top w:val="none" w:sz="0" w:space="0" w:color="auto"/>
        <w:left w:val="none" w:sz="0" w:space="0" w:color="auto"/>
        <w:bottom w:val="none" w:sz="0" w:space="0" w:color="auto"/>
        <w:right w:val="none" w:sz="0" w:space="0" w:color="auto"/>
      </w:divBdr>
    </w:div>
    <w:div w:id="1844541200">
      <w:bodyDiv w:val="1"/>
      <w:marLeft w:val="0"/>
      <w:marRight w:val="0"/>
      <w:marTop w:val="0"/>
      <w:marBottom w:val="0"/>
      <w:divBdr>
        <w:top w:val="none" w:sz="0" w:space="0" w:color="auto"/>
        <w:left w:val="none" w:sz="0" w:space="0" w:color="auto"/>
        <w:bottom w:val="none" w:sz="0" w:space="0" w:color="auto"/>
        <w:right w:val="none" w:sz="0" w:space="0" w:color="auto"/>
      </w:divBdr>
    </w:div>
    <w:div w:id="1962414982">
      <w:bodyDiv w:val="1"/>
      <w:marLeft w:val="0"/>
      <w:marRight w:val="0"/>
      <w:marTop w:val="0"/>
      <w:marBottom w:val="0"/>
      <w:divBdr>
        <w:top w:val="none" w:sz="0" w:space="0" w:color="auto"/>
        <w:left w:val="none" w:sz="0" w:space="0" w:color="auto"/>
        <w:bottom w:val="none" w:sz="0" w:space="0" w:color="auto"/>
        <w:right w:val="none" w:sz="0" w:space="0" w:color="auto"/>
      </w:divBdr>
    </w:div>
    <w:div w:id="199035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61511-CA9A-4BE2-8D8E-09E1ED4C6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Tim Prof (Centre Env &amp; Sustain)</dc:creator>
  <cp:keywords/>
  <dc:description/>
  <cp:lastModifiedBy>Richard Davies</cp:lastModifiedBy>
  <cp:revision>2</cp:revision>
  <dcterms:created xsi:type="dcterms:W3CDTF">2021-10-01T08:33:00Z</dcterms:created>
  <dcterms:modified xsi:type="dcterms:W3CDTF">2021-10-01T08:33:00Z</dcterms:modified>
</cp:coreProperties>
</file>