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1BF20" w14:textId="5F52988E" w:rsidR="00DC4C94" w:rsidRDefault="00DC4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>
        <w:rPr>
          <w:rFonts w:ascii="Times New Roman" w:hAnsi="Times New Roman" w:cs="Times New Roman" w:hint="eastAsia"/>
        </w:rPr>
        <w:t>1</w:t>
      </w:r>
    </w:p>
    <w:p w14:paraId="04BA824B" w14:textId="5590D14F" w:rsidR="00DC4C94" w:rsidRDefault="00DC4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motives for LBO of Southland can be analyzed through operational and financial perspective. Operationally speaking, t</w:t>
      </w:r>
      <w:r>
        <w:rPr>
          <w:rFonts w:ascii="Times New Roman" w:hAnsi="Times New Roman" w:cs="Times New Roman"/>
        </w:rPr>
        <w:t xml:space="preserve">he revenue growth slowed down from 1981 to 1986,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the integration could be an important source to break the ice. </w:t>
      </w:r>
      <w:r>
        <w:rPr>
          <w:rFonts w:ascii="Times New Roman" w:hAnsi="Times New Roman" w:cs="Times New Roman"/>
        </w:rPr>
        <w:t>Integrating gasoline marketing with convenience stores can “integrate” the customer base of both services as well thus generating more revenue. A greater and more loyal customer base can be utilized for further expansions, like Citgo Plus credit card as an example.</w:t>
      </w:r>
    </w:p>
    <w:p w14:paraId="62CDD7EB" w14:textId="0CE588EE" w:rsidR="004773CB" w:rsidRDefault="00DC4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Financially speaking, it is safe to promote an LBO plan. The debt-to-equity ratio has been decreasing dramatically during 1981 to 1986 from 90% to 40%, which implies a good opportunity to “lever up”</w:t>
      </w:r>
      <w:r w:rsidR="004773CB">
        <w:rPr>
          <w:rFonts w:ascii="Times New Roman" w:hAnsi="Times New Roman" w:cs="Times New Roman"/>
        </w:rPr>
        <w:t>; stably increasing cash flows also showed Southland is financially healthy. Generally speaking, Southland can utilize its financial health with an LBO plan to improve its operational performance.</w:t>
      </w:r>
    </w:p>
    <w:p w14:paraId="43B5DAC3" w14:textId="5CC2CDE1" w:rsidR="004773CB" w:rsidRDefault="004773CB">
      <w:pPr>
        <w:rPr>
          <w:rFonts w:ascii="Times New Roman" w:hAnsi="Times New Roman" w:cs="Times New Roman"/>
        </w:rPr>
      </w:pPr>
    </w:p>
    <w:p w14:paraId="4BAD03AC" w14:textId="442BAC8B" w:rsidR="004773CB" w:rsidRDefault="00477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2: Value of Southland’s shares under LBO plan</w:t>
      </w:r>
    </w:p>
    <w:p w14:paraId="5A872DC8" w14:textId="0B147446" w:rsidR="004773CB" w:rsidRDefault="00477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 we made through LBO plan:</w:t>
      </w:r>
    </w:p>
    <w:p w14:paraId="2ABD50C9" w14:textId="4190B29A" w:rsidR="004773CB" w:rsidRDefault="004773CB" w:rsidP="004773C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Tax rate = 36%, ERP = 8%</w:t>
      </w:r>
    </w:p>
    <w:p w14:paraId="67208C18" w14:textId="33BA3556" w:rsidR="004773CB" w:rsidRDefault="004773CB" w:rsidP="004773C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Risk-free rate = 8.6% (10-year U.S. treasury rate </w:t>
      </w:r>
      <w:r w:rsidR="00F15F1D">
        <w:rPr>
          <w:rFonts w:ascii="Times New Roman" w:hAnsi="Times New Roman" w:cs="Times New Roman"/>
        </w:rPr>
        <w:t>during</w:t>
      </w:r>
      <w:r>
        <w:rPr>
          <w:rFonts w:ascii="Times New Roman" w:hAnsi="Times New Roman" w:cs="Times New Roman"/>
        </w:rPr>
        <w:t xml:space="preserve"> July 1987)</w:t>
      </w:r>
    </w:p>
    <w:p w14:paraId="67BDB26F" w14:textId="4FB920C6" w:rsidR="00F15F1D" w:rsidRDefault="004773CB" w:rsidP="009E66C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Unlevered asset beta = </w:t>
      </w:r>
      <w:r w:rsidR="00F15F1D">
        <w:rPr>
          <w:rFonts w:ascii="Times New Roman" w:hAnsi="Times New Roman" w:cs="Times New Roman"/>
        </w:rPr>
        <w:t>equity beta * E/(D+E) = 0.78</w:t>
      </w:r>
    </w:p>
    <w:p w14:paraId="0C2B3C07" w14:textId="29BA4338" w:rsidR="009E66C0" w:rsidRDefault="009E66C0" w:rsidP="009E66C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Tax shield discount rate = 10% (bond discount rate)</w:t>
      </w:r>
    </w:p>
    <w:p w14:paraId="69B1799B" w14:textId="53594DA7" w:rsidR="009E66C0" w:rsidRDefault="009E66C0" w:rsidP="009E66C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Terminal Value is calculated by assuming no change of FCF &amp; Tax shield after 1997</w:t>
      </w:r>
    </w:p>
    <w:p w14:paraId="628CEC7C" w14:textId="66AFEA5A" w:rsidR="009E66C0" w:rsidRDefault="009E66C0" w:rsidP="009E66C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ebt </w:t>
      </w:r>
      <w:r w:rsidR="001870C8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$1146199 </w:t>
      </w:r>
      <w:r w:rsidR="001870C8">
        <w:rPr>
          <w:rFonts w:ascii="Times New Roman" w:hAnsi="Times New Roman" w:cs="Times New Roman"/>
        </w:rPr>
        <w:t>(Exhibit 8)</w:t>
      </w:r>
    </w:p>
    <w:p w14:paraId="05BE5C6F" w14:textId="6C2D7098" w:rsidR="001870C8" w:rsidRDefault="001870C8" w:rsidP="009E66C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Comm</w:t>
      </w:r>
      <w:r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hares Outstanding = 52.9 (Page 5)</w:t>
      </w:r>
    </w:p>
    <w:p w14:paraId="26457134" w14:textId="0790197A" w:rsidR="0090128F" w:rsidRPr="0090128F" w:rsidRDefault="0090128F" w:rsidP="00901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these assumptions, we calculate a share price of $82.79</w:t>
      </w:r>
    </w:p>
    <w:sectPr w:rsidR="0090128F" w:rsidRPr="0090128F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D6F72"/>
    <w:multiLevelType w:val="hybridMultilevel"/>
    <w:tmpl w:val="D51C3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D3"/>
    <w:rsid w:val="001870C8"/>
    <w:rsid w:val="00240DD3"/>
    <w:rsid w:val="002C36CC"/>
    <w:rsid w:val="004773CB"/>
    <w:rsid w:val="00770B78"/>
    <w:rsid w:val="0090128F"/>
    <w:rsid w:val="009E66C0"/>
    <w:rsid w:val="00AB7263"/>
    <w:rsid w:val="00DC4C94"/>
    <w:rsid w:val="00F1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0B8C"/>
  <w15:chartTrackingRefBased/>
  <w15:docId w15:val="{A7F44BA8-6E55-40E9-BDAA-AE7524F3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3</cp:revision>
  <dcterms:created xsi:type="dcterms:W3CDTF">2020-10-29T01:12:00Z</dcterms:created>
  <dcterms:modified xsi:type="dcterms:W3CDTF">2020-10-29T02:50:00Z</dcterms:modified>
</cp:coreProperties>
</file>