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86C89" w14:textId="415445D1" w:rsidR="007C5836" w:rsidRDefault="00C144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</w:p>
    <w:p w14:paraId="5907290F" w14:textId="78D53FB2" w:rsidR="00C144FB" w:rsidRDefault="00C144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C06A59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) My data range from 1927-12-30 to 2021-09-16</w:t>
      </w:r>
      <w:r w:rsidR="00665FDC">
        <w:rPr>
          <w:rFonts w:ascii="Times New Roman" w:hAnsi="Times New Roman" w:cs="Times New Roman"/>
        </w:rPr>
        <w:t xml:space="preserve">. </w:t>
      </w:r>
      <w:r w:rsidR="009856C2">
        <w:rPr>
          <w:rFonts w:ascii="Times New Roman" w:hAnsi="Times New Roman" w:cs="Times New Roman" w:hint="eastAsia"/>
        </w:rPr>
        <w:t>We</w:t>
      </w:r>
      <w:r w:rsidR="009856C2">
        <w:rPr>
          <w:rFonts w:ascii="Times New Roman" w:hAnsi="Times New Roman" w:cs="Times New Roman"/>
        </w:rPr>
        <w:t xml:space="preserve"> will test the data completeness after analyzing data quality and integrity in (2)</w:t>
      </w:r>
    </w:p>
    <w:p w14:paraId="5ED4ECD8" w14:textId="175D25CE" w:rsidR="00665FDC" w:rsidRDefault="00665F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C06A59">
        <w:rPr>
          <w:rFonts w:ascii="Times New Roman" w:hAnsi="Times New Roman" w:cs="Times New Roman"/>
        </w:rPr>
        <w:t>b)</w:t>
      </w:r>
      <w:r>
        <w:rPr>
          <w:rFonts w:ascii="Times New Roman" w:hAnsi="Times New Roman" w:cs="Times New Roman"/>
        </w:rPr>
        <w:t xml:space="preserve"> Integrity Check: </w:t>
      </w:r>
    </w:p>
    <w:p w14:paraId="48483F26" w14:textId="2C043387" w:rsidR="00665FDC" w:rsidRDefault="00C0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665FDC">
        <w:rPr>
          <w:rFonts w:ascii="Times New Roman" w:hAnsi="Times New Roman" w:cs="Times New Roman"/>
        </w:rPr>
        <w:t>) non-missing values for OPEN, CLOSE, HIGH, LOW</w:t>
      </w:r>
    </w:p>
    <w:p w14:paraId="00F76886" w14:textId="40303951" w:rsidR="009856C2" w:rsidRDefault="009856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8DC19D" wp14:editId="47591966">
            <wp:extent cx="54864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2785" w14:textId="1590F99A" w:rsidR="00665FDC" w:rsidRDefault="00C0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665FDC">
        <w:rPr>
          <w:rFonts w:ascii="Times New Roman" w:hAnsi="Times New Roman" w:cs="Times New Roman"/>
        </w:rPr>
        <w:t>) HIGH should be strictly larger than LOW, otherwise the market has same price all day</w:t>
      </w:r>
    </w:p>
    <w:p w14:paraId="31095C99" w14:textId="142FB1BC" w:rsidR="009856C2" w:rsidRDefault="009856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900DC8" wp14:editId="1EA75334">
            <wp:extent cx="54864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237C" w14:textId="0119947A" w:rsidR="009856C2" w:rsidRDefault="009856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There are fairly a lot of data showing this issue. To finish the task in next question correctly we </w:t>
      </w:r>
      <w:proofErr w:type="gramStart"/>
      <w:r>
        <w:rPr>
          <w:rFonts w:ascii="Times New Roman" w:hAnsi="Times New Roman" w:cs="Times New Roman"/>
        </w:rPr>
        <w:t>have to</w:t>
      </w:r>
      <w:proofErr w:type="gramEnd"/>
      <w:r>
        <w:rPr>
          <w:rFonts w:ascii="Times New Roman" w:hAnsi="Times New Roman" w:cs="Times New Roman"/>
        </w:rPr>
        <w:t xml:space="preserve"> delete these data.</w:t>
      </w:r>
    </w:p>
    <w:p w14:paraId="4AB8EA11" w14:textId="08485F21" w:rsidR="00665FDC" w:rsidRDefault="00C0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665FDC">
        <w:rPr>
          <w:rFonts w:ascii="Times New Roman" w:hAnsi="Times New Roman" w:cs="Times New Roman"/>
        </w:rPr>
        <w:t>) at least one observation of {OPEN, CLOSE, HIGH, LOW} should be different from the previous day</w:t>
      </w:r>
    </w:p>
    <w:p w14:paraId="1F155FA4" w14:textId="3712A195" w:rsidR="00665FDC" w:rsidRDefault="00C06A5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07C546" wp14:editId="5C6202CF">
            <wp:extent cx="5486400" cy="1159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978F" w14:textId="62B69764" w:rsidR="00C06A59" w:rsidRDefault="00C0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 such observations exist</w:t>
      </w:r>
    </w:p>
    <w:p w14:paraId="11DACDCB" w14:textId="002CF6E7" w:rsidR="00C06A59" w:rsidRDefault="00C06A59">
      <w:pPr>
        <w:rPr>
          <w:rFonts w:ascii="Times New Roman" w:hAnsi="Times New Roman" w:cs="Times New Roman"/>
        </w:rPr>
      </w:pPr>
    </w:p>
    <w:p w14:paraId="58089EC2" w14:textId="7E9EE3C4" w:rsidR="00C06A59" w:rsidRDefault="00C06A59">
      <w:pPr>
        <w:rPr>
          <w:noProof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)</w:t>
      </w:r>
      <w:r w:rsidRPr="00C06A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0AE0F1" wp14:editId="698304BB">
            <wp:extent cx="5486400" cy="352425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DCED" w14:textId="7C917744" w:rsidR="00C06A59" w:rsidRDefault="00C06A5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BD517D" wp14:editId="13FA18AE">
            <wp:extent cx="5486400" cy="327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6469" w14:textId="5B804735" w:rsidR="00C06A59" w:rsidRDefault="00C06A59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These result</w:t>
      </w:r>
      <w:proofErr w:type="gramEnd"/>
      <w:r>
        <w:rPr>
          <w:rFonts w:ascii="Times New Roman" w:hAnsi="Times New Roman" w:cs="Times New Roman"/>
        </w:rPr>
        <w:t xml:space="preserve"> can be used to reject random walk hypothesis: if random walk hypothesis holds, both probability should be zero</w:t>
      </w:r>
    </w:p>
    <w:p w14:paraId="3E6401BA" w14:textId="4AAC1E1D" w:rsidR="002B5776" w:rsidRDefault="002B57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(d)</w:t>
      </w:r>
    </w:p>
    <w:p w14:paraId="2F45327F" w14:textId="480C29D5" w:rsidR="002B5776" w:rsidRDefault="002B577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A6434C" wp14:editId="6D2264C2">
            <wp:extent cx="5486400" cy="389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0797" w14:textId="77777777" w:rsidR="00AA2984" w:rsidRDefault="002B57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14 of the top 20 are in the sub-period from 9/1/2008 to 8/30/2011</w:t>
      </w:r>
    </w:p>
    <w:p w14:paraId="15ADAE6B" w14:textId="6BCBAED9" w:rsidR="002B5776" w:rsidRDefault="00AA2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(e)The largest three-year period is the recent three year from 2018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F9F7552" wp14:editId="2A285575">
            <wp:extent cx="5486400" cy="3245485"/>
            <wp:effectExtent l="0" t="0" r="0" b="571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3EEB28E1" w14:textId="0E48A1C4" w:rsidR="00AA2984" w:rsidRDefault="00AA2984">
      <w:pPr>
        <w:rPr>
          <w:rFonts w:ascii="Times New Roman" w:hAnsi="Times New Roman" w:cs="Times New Roman"/>
        </w:rPr>
      </w:pPr>
    </w:p>
    <w:p w14:paraId="3E6CF641" w14:textId="7FFFA6A6" w:rsidR="00AA2984" w:rsidRDefault="00AA2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(f) Only one of the top 20 jumps is in the </w:t>
      </w:r>
      <w:proofErr w:type="gramStart"/>
      <w:r>
        <w:rPr>
          <w:rFonts w:ascii="Times New Roman" w:hAnsi="Times New Roman" w:cs="Times New Roman"/>
        </w:rPr>
        <w:t>three year</w:t>
      </w:r>
      <w:proofErr w:type="gramEnd"/>
      <w:r>
        <w:rPr>
          <w:rFonts w:ascii="Times New Roman" w:hAnsi="Times New Roman" w:cs="Times New Roman"/>
        </w:rPr>
        <w:t xml:space="preserve"> period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49069F6" wp14:editId="4E7FAADA">
            <wp:extent cx="5486400" cy="401574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3D32" w14:textId="09ED75C9" w:rsidR="00AA2984" w:rsidRDefault="00AA2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(f) based on intra-day change, the voloatility in 2020 is not distinguishable from other years; however based on overnight changes, the volatility in 2020 is </w:t>
      </w:r>
      <w:r w:rsidR="00F013A8">
        <w:rPr>
          <w:rFonts w:ascii="Times New Roman" w:hAnsi="Times New Roman" w:cs="Times New Roman"/>
          <w:noProof/>
        </w:rPr>
        <w:t>a lot larger than other years.</w:t>
      </w:r>
      <w:r>
        <w:rPr>
          <w:rFonts w:ascii="Times New Roman" w:hAnsi="Times New Roman" w:cs="Times New Roman"/>
          <w:noProof/>
        </w:rPr>
        <w:br/>
      </w:r>
    </w:p>
    <w:p w14:paraId="44DFB1AA" w14:textId="052DF98D" w:rsidR="00AA2984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B93CE3" wp14:editId="790D100F">
            <wp:extent cx="4339244" cy="2987750"/>
            <wp:effectExtent l="0" t="0" r="4445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34" cy="29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517E" w14:textId="3043192F" w:rsidR="00F013A8" w:rsidRDefault="00F013A8">
      <w:pPr>
        <w:rPr>
          <w:rFonts w:ascii="Times New Roman" w:hAnsi="Times New Roman" w:cs="Times New Roman"/>
        </w:rPr>
      </w:pPr>
    </w:p>
    <w:p w14:paraId="1929FD36" w14:textId="4F6A3101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A6146A" wp14:editId="5D062299">
            <wp:extent cx="5486400" cy="3790315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E302" w14:textId="49A69287" w:rsidR="00F013A8" w:rsidRDefault="00F013A8">
      <w:pPr>
        <w:rPr>
          <w:rFonts w:ascii="Times New Roman" w:hAnsi="Times New Roman" w:cs="Times New Roman"/>
        </w:rPr>
      </w:pPr>
    </w:p>
    <w:p w14:paraId="762348D4" w14:textId="42ADF443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</w:p>
    <w:p w14:paraId="268082F0" w14:textId="39D1DFE3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Fr</w:t>
      </w:r>
      <w:r>
        <w:rPr>
          <w:rFonts w:ascii="Times New Roman" w:hAnsi="Times New Roman" w:cs="Times New Roman"/>
        </w:rPr>
        <w:t xml:space="preserve">om Bloomberg: the open price was the lowest </w:t>
      </w:r>
      <w:proofErr w:type="gramStart"/>
      <w:r>
        <w:rPr>
          <w:rFonts w:ascii="Times New Roman" w:hAnsi="Times New Roman" w:cs="Times New Roman"/>
        </w:rPr>
        <w:t>price</w:t>
      </w:r>
      <w:proofErr w:type="gramEnd"/>
      <w:r>
        <w:rPr>
          <w:rFonts w:ascii="Times New Roman" w:hAnsi="Times New Roman" w:cs="Times New Roman"/>
        </w:rPr>
        <w:t xml:space="preserve"> and the close price was the highest price</w:t>
      </w:r>
    </w:p>
    <w:p w14:paraId="4386DE9B" w14:textId="77777777" w:rsidR="00F013A8" w:rsidRDefault="00F013A8">
      <w:pPr>
        <w:rPr>
          <w:rFonts w:ascii="Times New Roman" w:hAnsi="Times New Roman" w:cs="Times New Roman"/>
        </w:rPr>
      </w:pPr>
    </w:p>
    <w:p w14:paraId="16502BEC" w14:textId="52951DA9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A35F140" wp14:editId="5AB8AEDE">
            <wp:extent cx="4102100" cy="22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7E49" w14:textId="2BC98D99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Yahoo finance: although OPEN == LOW and CLOSE == HIGH still holds, the close price was off by 1 compared with Bloomberg data</w:t>
      </w:r>
    </w:p>
    <w:p w14:paraId="13962921" w14:textId="6E49E8D1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938932F" wp14:editId="2F25B7E9">
            <wp:extent cx="5486400" cy="1529715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89A5" w14:textId="68004DD9" w:rsidR="00F013A8" w:rsidRDefault="00F0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difference of 1 was roughly 1%, and if there was $1 billion dollar worth of SP500 ETF, that would result in $100 million discrepancy</w:t>
      </w:r>
      <w:r w:rsidR="00F8651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not mentioning the indirect effect on portfolio benchmarking.</w:t>
      </w:r>
      <w:r w:rsidR="00F86510">
        <w:rPr>
          <w:rFonts w:ascii="Times New Roman" w:hAnsi="Times New Roman" w:cs="Times New Roman"/>
        </w:rPr>
        <w:t xml:space="preserve"> It could be resolved by calculating the weighted close prices of SP500 components.</w:t>
      </w:r>
    </w:p>
    <w:p w14:paraId="5A7D98E6" w14:textId="77777777" w:rsidR="00BC2080" w:rsidRDefault="00F865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3. </w:t>
      </w:r>
    </w:p>
    <w:p w14:paraId="2C92124C" w14:textId="616BBC59" w:rsidR="00BC2080" w:rsidRDefault="00BC2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(a) </w:t>
      </w:r>
      <w:r w:rsidR="00F86510">
        <w:rPr>
          <w:rFonts w:ascii="Times New Roman" w:hAnsi="Times New Roman" w:cs="Times New Roman"/>
        </w:rPr>
        <w:t xml:space="preserve">As of </w:t>
      </w:r>
      <w:proofErr w:type="gramStart"/>
      <w:r w:rsidR="00F86510">
        <w:rPr>
          <w:rFonts w:ascii="Times New Roman" w:hAnsi="Times New Roman" w:cs="Times New Roman"/>
        </w:rPr>
        <w:t>Aug 24</w:t>
      </w:r>
      <w:proofErr w:type="gramEnd"/>
      <w:r w:rsidR="00F86510">
        <w:rPr>
          <w:rFonts w:ascii="Times New Roman" w:hAnsi="Times New Roman" w:cs="Times New Roman"/>
        </w:rPr>
        <w:t xml:space="preserve"> 2020, the</w:t>
      </w:r>
      <w:r>
        <w:rPr>
          <w:rFonts w:ascii="Times New Roman" w:hAnsi="Times New Roman" w:cs="Times New Roman"/>
        </w:rPr>
        <w:t xml:space="preserve"> value of new basket of equities were $4587.78, and given DJIA index value of $28308.46, the new divisor will be the ratio of the two which would be 0.16</w:t>
      </w:r>
      <w:r w:rsidR="00024930">
        <w:rPr>
          <w:rFonts w:ascii="Times New Roman" w:hAnsi="Times New Roman" w:cs="Times New Roman"/>
        </w:rPr>
        <w:t>21</w:t>
      </w:r>
    </w:p>
    <w:p w14:paraId="09CFAA61" w14:textId="78BF9329" w:rsidR="00BC2080" w:rsidRDefault="00BC2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 3.46%</w:t>
      </w:r>
    </w:p>
    <w:p w14:paraId="687D75EA" w14:textId="702CEFAB" w:rsidR="00BC2080" w:rsidRDefault="00BC2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(c) Their weight </w:t>
      </w:r>
      <w:proofErr w:type="gramStart"/>
      <w:r>
        <w:rPr>
          <w:rFonts w:ascii="Times New Roman" w:hAnsi="Times New Roman" w:cs="Times New Roman"/>
        </w:rPr>
        <w:t>decrease</w:t>
      </w:r>
      <w:proofErr w:type="gramEnd"/>
      <w:r>
        <w:rPr>
          <w:rFonts w:ascii="Times New Roman" w:hAnsi="Times New Roman" w:cs="Times New Roman"/>
        </w:rPr>
        <w:t xml:space="preserve"> from 96.54% to 86.85%</w:t>
      </w:r>
    </w:p>
    <w:p w14:paraId="06F3695D" w14:textId="6F667B02" w:rsidR="00BC2080" w:rsidRDefault="00BC20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(d) </w:t>
      </w:r>
      <w:r w:rsidR="00024930">
        <w:rPr>
          <w:rFonts w:ascii="Times New Roman" w:hAnsi="Times New Roman" w:cs="Times New Roman"/>
        </w:rPr>
        <w:t xml:space="preserve">The divisors would be </w:t>
      </w:r>
      <w:r w:rsidR="008256B5">
        <w:rPr>
          <w:rFonts w:ascii="Times New Roman" w:hAnsi="Times New Roman" w:cs="Times New Roman"/>
        </w:rPr>
        <w:t>0.2706 and 11.41539 respectively</w:t>
      </w:r>
    </w:p>
    <w:p w14:paraId="4989F20A" w14:textId="54D7E3D6" w:rsidR="008256B5" w:rsidRPr="00C144FB" w:rsidRDefault="008256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(e) It is observable that AAPL took too much weight as of Aug 24</w:t>
      </w:r>
      <w:proofErr w:type="gramStart"/>
      <w:r>
        <w:rPr>
          <w:rFonts w:ascii="Times New Roman" w:hAnsi="Times New Roman" w:cs="Times New Roman"/>
        </w:rPr>
        <w:t xml:space="preserve"> 2020</w:t>
      </w:r>
      <w:proofErr w:type="gramEnd"/>
      <w:r>
        <w:rPr>
          <w:rFonts w:ascii="Times New Roman" w:hAnsi="Times New Roman" w:cs="Times New Roman"/>
        </w:rPr>
        <w:t>: because the DJIA takes one share of the 30 component companies and AAPL had the highest price per share. By 4-for-1 split and decrease the price per share, it created a more “balanced” weighting for DJIA.</w:t>
      </w:r>
    </w:p>
    <w:sectPr w:rsidR="008256B5" w:rsidRPr="00C144FB" w:rsidSect="002C36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145"/>
    <w:rsid w:val="00024930"/>
    <w:rsid w:val="002B5776"/>
    <w:rsid w:val="002C36CC"/>
    <w:rsid w:val="00665FDC"/>
    <w:rsid w:val="007C5836"/>
    <w:rsid w:val="008256B5"/>
    <w:rsid w:val="00887145"/>
    <w:rsid w:val="009856C2"/>
    <w:rsid w:val="00AA2984"/>
    <w:rsid w:val="00AB7263"/>
    <w:rsid w:val="00BC2080"/>
    <w:rsid w:val="00C06A59"/>
    <w:rsid w:val="00C144FB"/>
    <w:rsid w:val="00F013A8"/>
    <w:rsid w:val="00F86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6E807"/>
  <w15:chartTrackingRefBased/>
  <w15:docId w15:val="{A903E82D-F07C-4050-B3CA-7EDF4BC9F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Songhao</dc:creator>
  <cp:keywords/>
  <dc:description/>
  <cp:lastModifiedBy>Songhao Li (SME,116020123)</cp:lastModifiedBy>
  <cp:revision>3</cp:revision>
  <dcterms:created xsi:type="dcterms:W3CDTF">2021-09-17T00:43:00Z</dcterms:created>
  <dcterms:modified xsi:type="dcterms:W3CDTF">2021-09-18T15:52:00Z</dcterms:modified>
</cp:coreProperties>
</file>