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A358" w14:textId="6D8DB5F0" w:rsidR="005D4EA4" w:rsidRDefault="000516D2">
      <w:r>
        <w:t>4.</w:t>
      </w:r>
    </w:p>
    <w:p w14:paraId="34BC6763" w14:textId="6990BDFB" w:rsidR="000516D2" w:rsidRDefault="000516D2">
      <w:r>
        <w:t xml:space="preserve">(a) Economically, the first difference is essentially the difference of current season earnings compared with the past season, while the seasonal difference is compared with the same season last year. </w:t>
      </w:r>
    </w:p>
    <w:p w14:paraId="70D528C9" w14:textId="55EC08E1" w:rsidR="000516D2" w:rsidRDefault="000516D2">
      <w:r>
        <w:t>(b) The model is built in codes. The estimated model is:</w:t>
      </w:r>
    </w:p>
    <w:p w14:paraId="0C4575DC" w14:textId="2A167554" w:rsidR="000516D2" w:rsidRPr="000516D2" w:rsidRDefault="00EB26B4">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r>
            <w:rPr>
              <w:rFonts w:ascii="Cambria Math" w:hAnsi="Cambria Math"/>
            </w:rPr>
            <m:t>0.0506</m:t>
          </m:r>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t+1</m:t>
              </m:r>
            </m:sub>
          </m:sSub>
          <m:r>
            <w:rPr>
              <w:rFonts w:ascii="Cambria Math" w:hAnsi="Cambria Math"/>
            </w:rPr>
            <m:t>-0</m:t>
          </m:r>
          <m:r>
            <w:rPr>
              <w:rFonts w:ascii="Cambria Math" w:hAnsi="Cambria Math"/>
            </w:rPr>
            <m:t>.4920</m:t>
          </m:r>
          <m:sSub>
            <m:sSubPr>
              <m:ctrlPr>
                <w:rPr>
                  <w:rFonts w:ascii="Cambria Math" w:hAnsi="Cambria Math"/>
                  <w:i/>
                </w:rPr>
              </m:ctrlPr>
            </m:sSubPr>
            <m:e>
              <m:r>
                <m:rPr>
                  <m:sty m:val="p"/>
                </m:rPr>
                <w:rPr>
                  <w:rFonts w:ascii="Cambria Math" w:hAnsi="Cambria Math"/>
                </w:rPr>
                <m:t>ϵ</m:t>
              </m:r>
              <m:ctrlPr>
                <w:rPr>
                  <w:rFonts w:ascii="Cambria Math" w:hAnsi="Cambria Math"/>
                </w:rPr>
              </m:ctrlPr>
            </m:e>
            <m:sub>
              <m:r>
                <w:rPr>
                  <w:rFonts w:ascii="Cambria Math" w:hAnsi="Cambria Math"/>
                </w:rPr>
                <m:t>t</m:t>
              </m:r>
            </m:sub>
          </m:sSub>
        </m:oMath>
      </m:oMathPara>
    </w:p>
    <w:p w14:paraId="1C403C6A" w14:textId="531408D4" w:rsidR="000516D2" w:rsidRDefault="000516D2">
      <w:r>
        <w:t>(c) The model is built in codes. The estimated model is:</w:t>
      </w:r>
    </w:p>
    <w:p w14:paraId="42A37E3D" w14:textId="42A680A4" w:rsidR="000516D2" w:rsidRPr="000516D2" w:rsidRDefault="00EB26B4">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t-5</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ϵ</m:t>
                  </m:r>
                </m:e>
                <m:sub>
                  <m:r>
                    <w:rPr>
                      <w:rFonts w:ascii="Cambria Math" w:hAnsi="Cambria Math"/>
                    </w:rPr>
                    <m:t>t</m:t>
                  </m:r>
                </m:sub>
              </m:sSub>
              <m:r>
                <w:rPr>
                  <w:rFonts w:ascii="Cambria Math" w:hAnsi="Cambria Math"/>
                </w:rPr>
                <m:t>-0.</m:t>
              </m:r>
              <m:r>
                <w:rPr>
                  <w:rFonts w:ascii="Cambria Math" w:hAnsi="Cambria Math"/>
                </w:rPr>
                <m:t>1593</m:t>
              </m:r>
              <m:sSub>
                <m:sSubPr>
                  <m:ctrlPr>
                    <w:rPr>
                      <w:rFonts w:ascii="Cambria Math" w:hAnsi="Cambria Math"/>
                      <w:i/>
                    </w:rPr>
                  </m:ctrlPr>
                </m:sSubPr>
                <m:e>
                  <m:r>
                    <m:rPr>
                      <m:sty m:val="p"/>
                    </m:rPr>
                    <w:rPr>
                      <w:rFonts w:ascii="Cambria Math" w:hAnsi="Cambria Math"/>
                    </w:rPr>
                    <m:t>ϵ</m:t>
                  </m:r>
                  <m:ctrlPr>
                    <w:rPr>
                      <w:rFonts w:ascii="Cambria Math" w:hAnsi="Cambria Math"/>
                    </w:rPr>
                  </m:ctrlPr>
                </m:e>
                <m:sub>
                  <m:r>
                    <w:rPr>
                      <w:rFonts w:ascii="Cambria Math" w:hAnsi="Cambria Math"/>
                    </w:rPr>
                    <m:t>t-1</m:t>
                  </m:r>
                </m:sub>
              </m:sSub>
            </m:e>
          </m:d>
          <m:r>
            <w:rPr>
              <w:rFonts w:ascii="Cambria Math" w:hAnsi="Cambria Math"/>
            </w:rPr>
            <m:t>-0.</m:t>
          </m:r>
          <m:r>
            <w:rPr>
              <w:rFonts w:ascii="Cambria Math" w:hAnsi="Cambria Math"/>
            </w:rPr>
            <m:t>4830</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ϵ</m:t>
                  </m:r>
                </m:e>
                <m:sub>
                  <m:r>
                    <w:rPr>
                      <w:rFonts w:ascii="Cambria Math" w:hAnsi="Cambria Math"/>
                    </w:rPr>
                    <m:t>t-4</m:t>
                  </m:r>
                </m:sub>
              </m:sSub>
              <m:r>
                <w:rPr>
                  <w:rFonts w:ascii="Cambria Math" w:hAnsi="Cambria Math"/>
                </w:rPr>
                <m:t>-0.</m:t>
              </m:r>
              <m:r>
                <w:rPr>
                  <w:rFonts w:ascii="Cambria Math" w:hAnsi="Cambria Math"/>
                </w:rPr>
                <m:t>1593</m:t>
              </m:r>
              <m:sSub>
                <m:sSubPr>
                  <m:ctrlPr>
                    <w:rPr>
                      <w:rFonts w:ascii="Cambria Math" w:hAnsi="Cambria Math"/>
                      <w:i/>
                    </w:rPr>
                  </m:ctrlPr>
                </m:sSubPr>
                <m:e>
                  <m:r>
                    <m:rPr>
                      <m:sty m:val="p"/>
                    </m:rPr>
                    <w:rPr>
                      <w:rFonts w:ascii="Cambria Math" w:hAnsi="Cambria Math"/>
                    </w:rPr>
                    <m:t>ϵ</m:t>
                  </m:r>
                </m:e>
                <m:sub>
                  <m:r>
                    <w:rPr>
                      <w:rFonts w:ascii="Cambria Math" w:hAnsi="Cambria Math"/>
                    </w:rPr>
                    <m:t>t-5</m:t>
                  </m:r>
                </m:sub>
              </m:sSub>
            </m:e>
          </m:d>
        </m:oMath>
      </m:oMathPara>
    </w:p>
    <w:p w14:paraId="6D6340FC" w14:textId="666E0450" w:rsidR="000516D2" w:rsidRDefault="000516D2">
      <w:r>
        <w:t xml:space="preserve">In the model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r>
          <w:rPr>
            <w:rFonts w:ascii="Cambria Math" w:hAnsi="Cambria Math"/>
          </w:rPr>
          <m:t>=0.</m:t>
        </m:r>
        <m:r>
          <w:rPr>
            <w:rFonts w:ascii="Cambria Math" w:hAnsi="Cambria Math"/>
          </w:rPr>
          <m:t>1593</m:t>
        </m:r>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r>
          <w:rPr>
            <w:rFonts w:ascii="Cambria Math" w:hAnsi="Cambria Math"/>
          </w:rPr>
          <m:t>0.4830</m:t>
        </m:r>
      </m:oMath>
      <w:r>
        <w:t>, which means the past earning increase shocks (both the past s</w:t>
      </w:r>
      <w:proofErr w:type="spellStart"/>
      <w:r>
        <w:t>eason</w:t>
      </w:r>
      <w:proofErr w:type="spellEnd"/>
      <w:r>
        <w:t xml:space="preserve"> and the same season </w:t>
      </w:r>
      <w:r w:rsidR="001949D1">
        <w:t>for the last year) is negatively correlated with predicted next season earnings.</w:t>
      </w:r>
    </w:p>
    <w:p w14:paraId="48FD9B8A" w14:textId="2EE59424" w:rsidR="001949D1" w:rsidRDefault="001949D1">
      <w:pPr>
        <w:rPr>
          <w:noProof/>
        </w:rPr>
      </w:pPr>
      <w:r>
        <w:t>(d)</w:t>
      </w:r>
      <w:r w:rsidRPr="001949D1">
        <w:rPr>
          <w:noProof/>
        </w:rPr>
        <w:t xml:space="preserve"> </w:t>
      </w:r>
      <w:r>
        <w:rPr>
          <w:noProof/>
        </w:rPr>
        <w:t>(e)</w:t>
      </w:r>
    </w:p>
    <w:p w14:paraId="6229448F" w14:textId="4E7AFD47" w:rsidR="001949D1" w:rsidRDefault="00EB26B4">
      <w:r>
        <w:rPr>
          <w:noProof/>
        </w:rPr>
        <w:drawing>
          <wp:inline distT="0" distB="0" distL="0" distR="0" wp14:anchorId="46F236EE" wp14:editId="2FE710C4">
            <wp:extent cx="5486400" cy="3550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3550285"/>
                    </a:xfrm>
                    <a:prstGeom prst="rect">
                      <a:avLst/>
                    </a:prstGeom>
                  </pic:spPr>
                </pic:pic>
              </a:graphicData>
            </a:graphic>
          </wp:inline>
        </w:drawing>
      </w:r>
    </w:p>
    <w:p w14:paraId="5F5370F8" w14:textId="764BA46F" w:rsidR="00EB26B4" w:rsidRDefault="00EB26B4">
      <w:r>
        <w:rPr>
          <w:noProof/>
        </w:rPr>
        <w:drawing>
          <wp:inline distT="0" distB="0" distL="0" distR="0" wp14:anchorId="4EF03E65" wp14:editId="71967D22">
            <wp:extent cx="4267200" cy="58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200" cy="581025"/>
                    </a:xfrm>
                    <a:prstGeom prst="rect">
                      <a:avLst/>
                    </a:prstGeom>
                  </pic:spPr>
                </pic:pic>
              </a:graphicData>
            </a:graphic>
          </wp:inline>
        </w:drawing>
      </w:r>
    </w:p>
    <w:p w14:paraId="4DA8344E" w14:textId="43CA27F5" w:rsidR="001949D1" w:rsidRDefault="001949D1">
      <w:r>
        <w:t xml:space="preserve">The seasonal </w:t>
      </w:r>
      <w:proofErr w:type="spellStart"/>
      <w:r>
        <w:t>arima</w:t>
      </w:r>
      <w:proofErr w:type="spellEnd"/>
      <w:r>
        <w:t xml:space="preserve"> model (airline model) performs better.</w:t>
      </w:r>
    </w:p>
    <w:p w14:paraId="3D6BB77F" w14:textId="446BC6CA" w:rsidR="001949D1" w:rsidRDefault="001949D1">
      <w:r>
        <w:t>(f)</w:t>
      </w:r>
    </w:p>
    <w:p w14:paraId="75B61323" w14:textId="3A891297" w:rsidR="001949D1" w:rsidRDefault="00EB26B4">
      <w:r>
        <w:rPr>
          <w:noProof/>
        </w:rPr>
        <w:lastRenderedPageBreak/>
        <w:drawing>
          <wp:inline distT="0" distB="0" distL="0" distR="0" wp14:anchorId="379AFFFA" wp14:editId="6271C1C5">
            <wp:extent cx="5486400" cy="3609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609975"/>
                    </a:xfrm>
                    <a:prstGeom prst="rect">
                      <a:avLst/>
                    </a:prstGeom>
                  </pic:spPr>
                </pic:pic>
              </a:graphicData>
            </a:graphic>
          </wp:inline>
        </w:drawing>
      </w:r>
    </w:p>
    <w:p w14:paraId="014332FB" w14:textId="4D11EB86" w:rsidR="001949D1" w:rsidRPr="000516D2" w:rsidRDefault="001949D1">
      <w:r>
        <w:t>Both models perform worse in 2020. This is because the COVID pandemic is an exogeneous event outside of the description of the model. To improve the forecast accuracy, we might include macroeconomic predictors such as expected inflation, GDP growth, treasury rate, etc.</w:t>
      </w:r>
    </w:p>
    <w:sectPr w:rsidR="001949D1" w:rsidRPr="000516D2" w:rsidSect="002C36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B4"/>
    <w:rsid w:val="000516D2"/>
    <w:rsid w:val="00072BB4"/>
    <w:rsid w:val="001949D1"/>
    <w:rsid w:val="002C36CC"/>
    <w:rsid w:val="004668F2"/>
    <w:rsid w:val="005D4EA4"/>
    <w:rsid w:val="00AB7263"/>
    <w:rsid w:val="00EB26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BC74"/>
  <w15:chartTrackingRefBased/>
  <w15:docId w15:val="{C07D0FAD-FD25-4A2E-AFEA-92E5E3CC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16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Songhao</dc:creator>
  <cp:keywords/>
  <dc:description/>
  <cp:lastModifiedBy>Li Songhao</cp:lastModifiedBy>
  <cp:revision>4</cp:revision>
  <dcterms:created xsi:type="dcterms:W3CDTF">2021-04-26T20:03:00Z</dcterms:created>
  <dcterms:modified xsi:type="dcterms:W3CDTF">2021-04-27T03:16:00Z</dcterms:modified>
</cp:coreProperties>
</file>