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0C5EB" w14:textId="19D2992B" w:rsidR="00FF5F16" w:rsidRDefault="001465D6" w:rsidP="001465D6">
      <w:pPr>
        <w:pStyle w:val="Heading2"/>
      </w:pPr>
      <w:r w:rsidRPr="001465D6">
        <w:t xml:space="preserve">Hur har </w:t>
      </w:r>
      <w:proofErr w:type="spellStart"/>
      <w:r w:rsidRPr="001465D6">
        <w:t>IAF:s</w:t>
      </w:r>
      <w:proofErr w:type="spellEnd"/>
      <w:r w:rsidRPr="001465D6">
        <w:t xml:space="preserve"> granskningsfokus förändrats över tid? En textanalys av 223 granskningsrapporter 2015–2026</w:t>
      </w:r>
    </w:p>
    <w:p w14:paraId="70630676" w14:textId="440935F8" w:rsidR="001465D6" w:rsidRPr="001465D6" w:rsidRDefault="001465D6" w:rsidP="001465D6">
      <w:pPr>
        <w:pStyle w:val="Heading3"/>
      </w:pPr>
      <w:r>
        <w:t>Inledning</w:t>
      </w:r>
    </w:p>
    <w:p w14:paraId="08B40B74" w14:textId="29447031" w:rsidR="00AB045D" w:rsidRPr="00AB045D" w:rsidRDefault="00AB045D" w:rsidP="00AB045D">
      <w:pPr>
        <w:spacing w:line="240" w:lineRule="auto"/>
        <w:jc w:val="both"/>
        <w:rPr>
          <w:rFonts w:ascii="Times New Roman" w:hAnsi="Times New Roman" w:cs="Times New Roman"/>
        </w:rPr>
      </w:pPr>
      <w:r w:rsidRPr="00AB045D">
        <w:rPr>
          <w:rFonts w:ascii="Times New Roman" w:hAnsi="Times New Roman" w:cs="Times New Roman"/>
        </w:rPr>
        <w:t xml:space="preserve">IAF (Inspektionen för arbetslöshetsförsäkringen) är den myndighet som ansvarar för tillsyn och uppföljning av arbetslöshetsförsäkringen i Sverige. Myndigheten publicerar regelbundet granskningsrapporter och det digitala arkivet på iaf.se sträcker sig från 2015 och </w:t>
      </w:r>
      <w:proofErr w:type="spellStart"/>
      <w:proofErr w:type="gramStart"/>
      <w:r w:rsidRPr="00AB045D">
        <w:rPr>
          <w:rFonts w:ascii="Times New Roman" w:hAnsi="Times New Roman" w:cs="Times New Roman"/>
        </w:rPr>
        <w:t>framåt.Syftet</w:t>
      </w:r>
      <w:proofErr w:type="spellEnd"/>
      <w:proofErr w:type="gramEnd"/>
      <w:r w:rsidRPr="00AB045D">
        <w:rPr>
          <w:rFonts w:ascii="Times New Roman" w:hAnsi="Times New Roman" w:cs="Times New Roman"/>
        </w:rPr>
        <w:t xml:space="preserve"> med denna studie är att undersöka hur </w:t>
      </w:r>
      <w:proofErr w:type="spellStart"/>
      <w:r w:rsidRPr="00AB045D">
        <w:rPr>
          <w:rFonts w:ascii="Times New Roman" w:hAnsi="Times New Roman" w:cs="Times New Roman"/>
        </w:rPr>
        <w:t>IAF:s</w:t>
      </w:r>
      <w:proofErr w:type="spellEnd"/>
      <w:r w:rsidRPr="00AB045D">
        <w:rPr>
          <w:rFonts w:ascii="Times New Roman" w:hAnsi="Times New Roman" w:cs="Times New Roman"/>
        </w:rPr>
        <w:t xml:space="preserve"> granskningsfokus förändrats mellan 2015 och 2026 genom analys av myndighetens publicerade rapporter. Följande fråga besvaras:</w:t>
      </w:r>
    </w:p>
    <w:p w14:paraId="7E2823E6" w14:textId="77777777" w:rsidR="00AB045D" w:rsidRPr="00AB045D" w:rsidRDefault="00AB045D" w:rsidP="00AB045D">
      <w:pPr>
        <w:spacing w:line="240" w:lineRule="auto"/>
        <w:jc w:val="both"/>
        <w:rPr>
          <w:rFonts w:ascii="Times New Roman" w:hAnsi="Times New Roman" w:cs="Times New Roman"/>
        </w:rPr>
      </w:pPr>
      <w:r w:rsidRPr="00AB045D">
        <w:rPr>
          <w:rFonts w:ascii="Times New Roman" w:hAnsi="Times New Roman" w:cs="Times New Roman"/>
          <w:i/>
          <w:iCs/>
        </w:rPr>
        <w:t xml:space="preserve">Hur har de teman och nyckelord som dominerar </w:t>
      </w:r>
      <w:proofErr w:type="spellStart"/>
      <w:r w:rsidRPr="00AB045D">
        <w:rPr>
          <w:rFonts w:ascii="Times New Roman" w:hAnsi="Times New Roman" w:cs="Times New Roman"/>
          <w:i/>
          <w:iCs/>
        </w:rPr>
        <w:t>IAF:s</w:t>
      </w:r>
      <w:proofErr w:type="spellEnd"/>
      <w:r w:rsidRPr="00AB045D">
        <w:rPr>
          <w:rFonts w:ascii="Times New Roman" w:hAnsi="Times New Roman" w:cs="Times New Roman"/>
          <w:i/>
          <w:iCs/>
        </w:rPr>
        <w:t xml:space="preserve"> granskningsrapporter förändrats över tid?</w:t>
      </w:r>
    </w:p>
    <w:p w14:paraId="64F628B0" w14:textId="02C02873" w:rsidR="00AB045D" w:rsidRPr="00AB045D" w:rsidRDefault="00AB045D" w:rsidP="00AB045D">
      <w:pPr>
        <w:spacing w:line="240" w:lineRule="auto"/>
        <w:jc w:val="both"/>
        <w:rPr>
          <w:rFonts w:ascii="Times New Roman" w:hAnsi="Times New Roman" w:cs="Times New Roman"/>
        </w:rPr>
      </w:pPr>
      <w:r w:rsidRPr="00AB045D">
        <w:rPr>
          <w:rFonts w:ascii="Times New Roman" w:hAnsi="Times New Roman" w:cs="Times New Roman"/>
        </w:rPr>
        <w:t xml:space="preserve">Analysen genomförs med tre kvantitativa textanalysmetoder – ordfrekvensanalys, TF-IDF och LDA – på </w:t>
      </w:r>
      <w:r w:rsidR="00FF5F16" w:rsidRPr="00AB045D">
        <w:rPr>
          <w:rFonts w:ascii="Times New Roman" w:hAnsi="Times New Roman" w:cs="Times New Roman"/>
        </w:rPr>
        <w:t>en korpus</w:t>
      </w:r>
      <w:r w:rsidRPr="00AB045D">
        <w:rPr>
          <w:rFonts w:ascii="Times New Roman" w:hAnsi="Times New Roman" w:cs="Times New Roman"/>
        </w:rPr>
        <w:t xml:space="preserve"> bestående av 223 rapporter hämtade från </w:t>
      </w:r>
      <w:proofErr w:type="spellStart"/>
      <w:r w:rsidRPr="00AB045D">
        <w:rPr>
          <w:rFonts w:ascii="Times New Roman" w:hAnsi="Times New Roman" w:cs="Times New Roman"/>
        </w:rPr>
        <w:t>IAF:s</w:t>
      </w:r>
      <w:proofErr w:type="spellEnd"/>
      <w:r w:rsidRPr="00AB045D">
        <w:rPr>
          <w:rFonts w:ascii="Times New Roman" w:hAnsi="Times New Roman" w:cs="Times New Roman"/>
        </w:rPr>
        <w:t xml:space="preserve"> webbplats</w:t>
      </w:r>
    </w:p>
    <w:p w14:paraId="4ADC2C77" w14:textId="77777777" w:rsidR="00AB045D" w:rsidRPr="001465D6" w:rsidRDefault="00AB045D" w:rsidP="001465D6">
      <w:pPr>
        <w:pStyle w:val="Heading3"/>
      </w:pPr>
      <w:r w:rsidRPr="001465D6">
        <w:rPr>
          <w:rStyle w:val="Strong"/>
          <w:b w:val="0"/>
          <w:bCs w:val="0"/>
        </w:rPr>
        <w:t>Data</w:t>
      </w:r>
    </w:p>
    <w:p w14:paraId="2BF6B2CA" w14:textId="25E0988A" w:rsidR="00AB045D" w:rsidRDefault="00AB045D" w:rsidP="00AB045D">
      <w:pPr>
        <w:pStyle w:val="font-claude-response-body"/>
        <w:jc w:val="both"/>
      </w:pPr>
      <w:r>
        <w:t xml:space="preserve">Datamaterialet består av 223 granskningsrapporter publicerade av IAF mellan 2015 och 2026, hämtade från myndighetens webbplats (iaf.se). Rapporterna täcker </w:t>
      </w:r>
      <w:proofErr w:type="spellStart"/>
      <w:r>
        <w:t>IAF:s</w:t>
      </w:r>
      <w:proofErr w:type="spellEnd"/>
      <w:r>
        <w:t xml:space="preserve"> tillsynsverksamhet över arbetslöshetskassorna, Arbetsförmedlingen och Försäkringskassan.</w:t>
      </w:r>
      <w:r w:rsidR="00FC675F">
        <w:t xml:space="preserve"> </w:t>
      </w:r>
      <w:r>
        <w:t xml:space="preserve">Rapporterna laddades ned automatiskt i PDF-format med hjälp av ett R-skript. Metodbilagor och tabellbilagor exkluderades från analysen eftersom dessa innehåller tekniskt material som inte är representativt för rapporternas innehållsmässiga fokus. Två rapporter exkluderades på grund av att </w:t>
      </w:r>
      <w:proofErr w:type="spellStart"/>
      <w:r>
        <w:t>publiceringsår</w:t>
      </w:r>
      <w:proofErr w:type="spellEnd"/>
      <w:r>
        <w:t xml:space="preserve"> inte kunde identifieras från filnamnet</w:t>
      </w:r>
      <w:r>
        <w:rPr>
          <w:rStyle w:val="FootnoteReference"/>
        </w:rPr>
        <w:footnoteReference w:id="1"/>
      </w:r>
    </w:p>
    <w:p w14:paraId="26CEFF6F" w14:textId="77777777" w:rsidR="00AB045D" w:rsidRPr="001465D6" w:rsidRDefault="00AB045D" w:rsidP="001465D6">
      <w:pPr>
        <w:pStyle w:val="Heading3"/>
      </w:pPr>
      <w:r w:rsidRPr="001465D6">
        <w:rPr>
          <w:rStyle w:val="Strong"/>
          <w:b w:val="0"/>
          <w:bCs w:val="0"/>
        </w:rPr>
        <w:t>Metod</w:t>
      </w:r>
    </w:p>
    <w:p w14:paraId="6E29FE6B" w14:textId="3448AD64" w:rsidR="00AB045D" w:rsidRDefault="00AB045D" w:rsidP="00AB045D">
      <w:pPr>
        <w:pStyle w:val="font-claude-response-body"/>
        <w:jc w:val="both"/>
      </w:pPr>
      <w:r>
        <w:t xml:space="preserve">Analysen genomförs i tre steg. All analys är genomförd i R och koden finns tillgänglig på </w:t>
      </w:r>
      <w:proofErr w:type="spellStart"/>
      <w:r>
        <w:t>GitHub</w:t>
      </w:r>
      <w:proofErr w:type="spellEnd"/>
      <w:r>
        <w:t xml:space="preserve">. </w:t>
      </w:r>
      <w:r w:rsidR="00FC675F" w:rsidRPr="00FC675F">
        <w:t>Metoderna valdes för att ge tre kompletterande perspektiv</w:t>
      </w:r>
      <w:r w:rsidR="00FC675F">
        <w:t xml:space="preserve"> - </w:t>
      </w:r>
      <w:r w:rsidR="00FC675F" w:rsidRPr="00FC675F">
        <w:t xml:space="preserve">från deskriptiv frekvensanalys till identifiering av unika mönster och slutligen automatisk ämnesklassificering. </w:t>
      </w:r>
      <w:r>
        <w:t>Innan analys rensades texten från stoppord</w:t>
      </w:r>
      <w:r w:rsidR="00FC675F">
        <w:t xml:space="preserve">, det vill säga </w:t>
      </w:r>
      <w:r>
        <w:t>vanliga svenska ord som saknar analytiskt värde såsom "och", "att" och "är". Därutöver exkluderades förkortningar, siffror och IAF-specifika icke-informativa ord. Ord med liknande betydelse normaliserades till en gemensam form, exempelvis slogs "arbetsförmedlingen" och "arbetsförmedlingens" ihop till "arbetsförmedlingen".</w:t>
      </w:r>
    </w:p>
    <w:p w14:paraId="5C123872" w14:textId="77777777" w:rsidR="00AB045D" w:rsidRDefault="00AB045D" w:rsidP="00AB045D">
      <w:pPr>
        <w:pStyle w:val="font-claude-response-body"/>
        <w:jc w:val="both"/>
      </w:pPr>
      <w:r>
        <w:t xml:space="preserve">Som ett första steg analyserades de vanligaste orden per år. Frekvenserna normaliserades per 1 000 ord för att kontrollera för variation i antal rapporter mellan år. Därefter tillämpades TF-IDF (Term </w:t>
      </w:r>
      <w:proofErr w:type="spellStart"/>
      <w:r>
        <w:t>Frequency-Inverse</w:t>
      </w:r>
      <w:proofErr w:type="spellEnd"/>
      <w:r>
        <w:t xml:space="preserve"> </w:t>
      </w:r>
      <w:proofErr w:type="spellStart"/>
      <w:r>
        <w:t>Document</w:t>
      </w:r>
      <w:proofErr w:type="spellEnd"/>
      <w:r>
        <w:t xml:space="preserve"> </w:t>
      </w:r>
      <w:proofErr w:type="spellStart"/>
      <w:r>
        <w:t>Frequency</w:t>
      </w:r>
      <w:proofErr w:type="spellEnd"/>
      <w:r>
        <w:t xml:space="preserve">) som identifierar ord som är karakteristiska för ett specifikt år – ord som är vanliga det året men ovanliga övriga år får ett högt värde. Slutligen genomfördes en LDA-analys (Latent </w:t>
      </w:r>
      <w:proofErr w:type="spellStart"/>
      <w:r>
        <w:t>Dirichlet</w:t>
      </w:r>
      <w:proofErr w:type="spellEnd"/>
      <w:r>
        <w:t xml:space="preserve"> </w:t>
      </w:r>
      <w:proofErr w:type="spellStart"/>
      <w:r>
        <w:t>Allocation</w:t>
      </w:r>
      <w:proofErr w:type="spellEnd"/>
      <w:r>
        <w:t>) som automatiskt identifierar dolda teman i korpusen. Analysen genomfördes med 6 teman som tolkades och namngavs manuellt utifrån de ord som var mest unika för respektive tema.</w:t>
      </w:r>
    </w:p>
    <w:p w14:paraId="40FE324A" w14:textId="77777777" w:rsidR="00FF5F16" w:rsidRPr="001465D6" w:rsidRDefault="00AB045D" w:rsidP="001465D6">
      <w:pPr>
        <w:pStyle w:val="Heading3"/>
      </w:pPr>
      <w:r w:rsidRPr="001465D6">
        <w:rPr>
          <w:rStyle w:val="Strong"/>
          <w:b w:val="0"/>
          <w:bCs w:val="0"/>
        </w:rPr>
        <w:lastRenderedPageBreak/>
        <w:t>Resultat</w:t>
      </w:r>
    </w:p>
    <w:p w14:paraId="7992CBFF" w14:textId="738BE3F7" w:rsidR="00FF5F16" w:rsidRPr="00FF5F16" w:rsidRDefault="00AB045D" w:rsidP="00FF5F16">
      <w:pPr>
        <w:pStyle w:val="font-claude-response-body"/>
        <w:rPr>
          <w:rStyle w:val="Strong"/>
          <w:b w:val="0"/>
          <w:bCs w:val="0"/>
        </w:rPr>
      </w:pPr>
      <w:r w:rsidRPr="00AB045D">
        <w:t>Analysen baseras på 223 granskningsrapporter publicerade av IAF mellan 2015 och 2026. Totalt analyserades cirka 827 000 ord efter datarensning. Resultaten presenteras i tre delar i enlighet med metodbeskrivningen ovan.</w:t>
      </w:r>
    </w:p>
    <w:p w14:paraId="2339801E" w14:textId="0B168256" w:rsidR="00AB045D" w:rsidRPr="001465D6" w:rsidRDefault="00AB045D" w:rsidP="001465D6">
      <w:pPr>
        <w:pStyle w:val="Heading4"/>
      </w:pPr>
      <w:r w:rsidRPr="001465D6">
        <w:rPr>
          <w:rStyle w:val="Strong"/>
          <w:b w:val="0"/>
          <w:bCs w:val="0"/>
        </w:rPr>
        <w:t>Ordfrekvensanalys</w:t>
      </w:r>
    </w:p>
    <w:p w14:paraId="16E25B72" w14:textId="77777777" w:rsidR="008C6022" w:rsidRDefault="008C6022" w:rsidP="008C6022">
      <w:pPr>
        <w:keepNext/>
        <w:jc w:val="both"/>
      </w:pPr>
      <w:r w:rsidRPr="008C6022">
        <w:rPr>
          <w:rFonts w:ascii="Times New Roman" w:eastAsia="Times New Roman" w:hAnsi="Times New Roman" w:cs="Times New Roman"/>
          <w:kern w:val="0"/>
          <w:lang w:eastAsia="sv-SE"/>
          <w14:ligatures w14:val="none"/>
        </w:rPr>
        <w:t xml:space="preserve">De vanligaste orden per år domineras genomgående av ett fåtal kärnbegrepp inom </w:t>
      </w:r>
      <w:proofErr w:type="spellStart"/>
      <w:r w:rsidRPr="008C6022">
        <w:rPr>
          <w:rFonts w:ascii="Times New Roman" w:eastAsia="Times New Roman" w:hAnsi="Times New Roman" w:cs="Times New Roman"/>
          <w:kern w:val="0"/>
          <w:lang w:eastAsia="sv-SE"/>
          <w14:ligatures w14:val="none"/>
        </w:rPr>
        <w:t>IAF:s</w:t>
      </w:r>
      <w:proofErr w:type="spellEnd"/>
      <w:r w:rsidRPr="008C6022">
        <w:rPr>
          <w:rFonts w:ascii="Times New Roman" w:eastAsia="Times New Roman" w:hAnsi="Times New Roman" w:cs="Times New Roman"/>
          <w:kern w:val="0"/>
          <w:lang w:eastAsia="sv-SE"/>
          <w14:ligatures w14:val="none"/>
        </w:rPr>
        <w:t xml:space="preserve"> verksamhet </w:t>
      </w:r>
      <w:r>
        <w:rPr>
          <w:rFonts w:ascii="Times New Roman" w:eastAsia="Times New Roman" w:hAnsi="Times New Roman" w:cs="Times New Roman"/>
          <w:kern w:val="0"/>
          <w:lang w:eastAsia="sv-SE"/>
          <w14:ligatures w14:val="none"/>
        </w:rPr>
        <w:t>(</w:t>
      </w:r>
      <w:r w:rsidRPr="008C6022">
        <w:rPr>
          <w:rFonts w:ascii="Times New Roman" w:eastAsia="Times New Roman" w:hAnsi="Times New Roman" w:cs="Times New Roman"/>
          <w:kern w:val="0"/>
          <w:lang w:eastAsia="sv-SE"/>
          <w14:ligatures w14:val="none"/>
        </w:rPr>
        <w:t>arbetslöshetskassorna, arbetsförmedlingen, arbetssökande och ersättning</w:t>
      </w:r>
      <w:r>
        <w:rPr>
          <w:rFonts w:ascii="Times New Roman" w:eastAsia="Times New Roman" w:hAnsi="Times New Roman" w:cs="Times New Roman"/>
          <w:kern w:val="0"/>
          <w:lang w:eastAsia="sv-SE"/>
          <w14:ligatures w14:val="none"/>
        </w:rPr>
        <w:t>)</w:t>
      </w:r>
      <w:r w:rsidRPr="008C6022">
        <w:rPr>
          <w:rFonts w:ascii="Times New Roman" w:eastAsia="Times New Roman" w:hAnsi="Times New Roman" w:cs="Times New Roman"/>
          <w:kern w:val="0"/>
          <w:lang w:eastAsia="sv-SE"/>
          <w14:ligatures w14:val="none"/>
        </w:rPr>
        <w:t xml:space="preserve"> som är stabila över hela perioden. Eftersom dessa ord förekommer konsistent varje år är de mindre informativa för att studera förändringar i granskningsfokus. Utöver dessa kärnbegrepp går det att urskilja ord som varierar mer mellan åren</w:t>
      </w:r>
      <w:r>
        <w:rPr>
          <w:rFonts w:ascii="Times New Roman" w:eastAsia="Times New Roman" w:hAnsi="Times New Roman" w:cs="Times New Roman"/>
          <w:kern w:val="0"/>
          <w:lang w:eastAsia="sv-SE"/>
          <w14:ligatures w14:val="none"/>
        </w:rPr>
        <w:t>, såsom</w:t>
      </w:r>
      <w:r w:rsidRPr="008C6022">
        <w:rPr>
          <w:rFonts w:ascii="Times New Roman" w:eastAsia="Times New Roman" w:hAnsi="Times New Roman" w:cs="Times New Roman"/>
          <w:kern w:val="0"/>
          <w:lang w:eastAsia="sv-SE"/>
          <w14:ligatures w14:val="none"/>
        </w:rPr>
        <w:t xml:space="preserve"> underrättelser, sanktioner, kvinnor</w:t>
      </w:r>
      <w:r>
        <w:rPr>
          <w:rStyle w:val="FootnoteReference"/>
          <w:rFonts w:ascii="Times New Roman" w:eastAsia="Times New Roman" w:hAnsi="Times New Roman" w:cs="Times New Roman"/>
          <w:kern w:val="0"/>
          <w:lang w:eastAsia="sv-SE"/>
          <w14:ligatures w14:val="none"/>
        </w:rPr>
        <w:footnoteReference w:id="2"/>
      </w:r>
      <w:r w:rsidRPr="008C6022">
        <w:rPr>
          <w:rFonts w:ascii="Times New Roman" w:eastAsia="Times New Roman" w:hAnsi="Times New Roman" w:cs="Times New Roman"/>
          <w:kern w:val="0"/>
          <w:lang w:eastAsia="sv-SE"/>
          <w14:ligatures w14:val="none"/>
        </w:rPr>
        <w:t xml:space="preserve"> och felaktiga</w:t>
      </w:r>
      <w:r>
        <w:rPr>
          <w:rFonts w:ascii="Times New Roman" w:eastAsia="Times New Roman" w:hAnsi="Times New Roman" w:cs="Times New Roman"/>
          <w:kern w:val="0"/>
          <w:lang w:eastAsia="sv-SE"/>
          <w14:ligatures w14:val="none"/>
        </w:rPr>
        <w:t>,</w:t>
      </w:r>
      <w:r w:rsidRPr="008C6022">
        <w:rPr>
          <w:rFonts w:ascii="Times New Roman" w:eastAsia="Times New Roman" w:hAnsi="Times New Roman" w:cs="Times New Roman"/>
          <w:kern w:val="0"/>
          <w:lang w:eastAsia="sv-SE"/>
          <w14:ligatures w14:val="none"/>
        </w:rPr>
        <w:t xml:space="preserve"> vilket motiverar en mer detaljerad analys av deras utveckling över tid.</w:t>
      </w:r>
      <w:r w:rsidR="00096ADE">
        <w:rPr>
          <w:noProof/>
        </w:rPr>
        <w:drawing>
          <wp:inline distT="0" distB="0" distL="0" distR="0" wp14:anchorId="6A6BC0CF" wp14:editId="0B4BA209">
            <wp:extent cx="5731510" cy="4093845"/>
            <wp:effectExtent l="0" t="0" r="2540" b="1905"/>
            <wp:docPr id="2019777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p>
    <w:p w14:paraId="654F40A2" w14:textId="18FB881F" w:rsidR="008C6022" w:rsidRPr="007669A0" w:rsidRDefault="008C6022" w:rsidP="007669A0">
      <w:pPr>
        <w:pStyle w:val="Caption"/>
        <w:jc w:val="both"/>
      </w:pPr>
      <w:r>
        <w:t xml:space="preserve">Figur </w:t>
      </w:r>
      <w:r>
        <w:fldChar w:fldCharType="begin"/>
      </w:r>
      <w:r>
        <w:instrText xml:space="preserve"> SEQ Figur \* ARABIC </w:instrText>
      </w:r>
      <w:r>
        <w:fldChar w:fldCharType="separate"/>
      </w:r>
      <w:r w:rsidR="00FF5F16">
        <w:rPr>
          <w:noProof/>
        </w:rPr>
        <w:t>1</w:t>
      </w:r>
      <w:r>
        <w:fldChar w:fldCharType="end"/>
      </w:r>
      <w:r w:rsidR="007669A0">
        <w:t xml:space="preserve">. </w:t>
      </w:r>
      <w:r w:rsidR="007669A0" w:rsidRPr="007669A0">
        <w:t xml:space="preserve">Vanligaste orden i </w:t>
      </w:r>
      <w:proofErr w:type="spellStart"/>
      <w:r w:rsidR="007669A0" w:rsidRPr="007669A0">
        <w:t>IAF:s</w:t>
      </w:r>
      <w:proofErr w:type="spellEnd"/>
      <w:r w:rsidR="007669A0" w:rsidRPr="007669A0">
        <w:t xml:space="preserve"> granskningsrapporter per år, normaliserat per 1 000 ord. Baserat på 223 rapporter efter datarensning och normalisering av ordformer.</w:t>
      </w:r>
    </w:p>
    <w:p w14:paraId="6AF1BDA9" w14:textId="77777777" w:rsidR="00FF5F16" w:rsidRDefault="00484FE0" w:rsidP="00FF5F16">
      <w:pPr>
        <w:keepNext/>
        <w:jc w:val="both"/>
      </w:pPr>
      <w:r w:rsidRPr="00484FE0">
        <w:rPr>
          <w:rFonts w:ascii="Times New Roman" w:hAnsi="Times New Roman" w:cs="Times New Roman"/>
        </w:rPr>
        <w:t xml:space="preserve">För att fördjupa analysen följdes sex utvalda nyckelord över tid, normaliserat per 1 000 ord. Resultaten uppvisar en relativt hög volatilitet vilket försvårar tolkningen. Ordet "underrättelser" var frekvent förekommande i början av perioden men har minskat, dock med stora variationer mellan åren. "Sanktioner" uppvisar ett liknande mönster men med lägre volatilitet och är i slutet av perioden något mindre förekommande än vid starten. "Kvinnor" </w:t>
      </w:r>
      <w:r w:rsidRPr="00484FE0">
        <w:rPr>
          <w:rFonts w:ascii="Times New Roman" w:hAnsi="Times New Roman" w:cs="Times New Roman"/>
        </w:rPr>
        <w:lastRenderedPageBreak/>
        <w:t xml:space="preserve">och "män" uppvisar en tydlig </w:t>
      </w:r>
      <w:proofErr w:type="spellStart"/>
      <w:r w:rsidRPr="00484FE0">
        <w:rPr>
          <w:rFonts w:ascii="Times New Roman" w:hAnsi="Times New Roman" w:cs="Times New Roman"/>
        </w:rPr>
        <w:t>bell</w:t>
      </w:r>
      <w:proofErr w:type="spellEnd"/>
      <w:r w:rsidRPr="00484FE0">
        <w:rPr>
          <w:rFonts w:ascii="Times New Roman" w:hAnsi="Times New Roman" w:cs="Times New Roman"/>
        </w:rPr>
        <w:t xml:space="preserve">-formad kurva med en markant topp mellan 2021 och 2023, för att sedan återgå till ungefär samma nivå som vid periodens början. "Felaktiga" och "återkrav" uppvisar båda en möjlig uppåtgående trend från cirka 2021, men volatiliteten gör det svårt att dra säkra slutsatser utifrån </w:t>
      </w:r>
      <w:r>
        <w:rPr>
          <w:rFonts w:ascii="Times New Roman" w:hAnsi="Times New Roman" w:cs="Times New Roman"/>
        </w:rPr>
        <w:t>enbart denna figur.</w:t>
      </w:r>
      <w:r w:rsidR="00D30314">
        <w:rPr>
          <w:noProof/>
        </w:rPr>
        <w:drawing>
          <wp:inline distT="0" distB="0" distL="0" distR="0" wp14:anchorId="32FF7E39" wp14:editId="2E07163C">
            <wp:extent cx="5731510" cy="3343275"/>
            <wp:effectExtent l="0" t="0" r="2540" b="9525"/>
            <wp:docPr id="20387590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343275"/>
                    </a:xfrm>
                    <a:prstGeom prst="rect">
                      <a:avLst/>
                    </a:prstGeom>
                    <a:noFill/>
                    <a:ln>
                      <a:noFill/>
                    </a:ln>
                  </pic:spPr>
                </pic:pic>
              </a:graphicData>
            </a:graphic>
          </wp:inline>
        </w:drawing>
      </w:r>
    </w:p>
    <w:p w14:paraId="17EC099D" w14:textId="712735E3" w:rsidR="00A20BDF" w:rsidRDefault="00FF5F16" w:rsidP="00FF5F16">
      <w:pPr>
        <w:pStyle w:val="Caption"/>
        <w:jc w:val="both"/>
        <w:rPr>
          <w:rFonts w:ascii="Times New Roman" w:hAnsi="Times New Roman" w:cs="Times New Roman"/>
        </w:rPr>
      </w:pPr>
      <w:r>
        <w:t xml:space="preserve">Figur </w:t>
      </w:r>
      <w:r>
        <w:fldChar w:fldCharType="begin"/>
      </w:r>
      <w:r>
        <w:instrText xml:space="preserve"> SEQ Figur \* ARABIC </w:instrText>
      </w:r>
      <w:r>
        <w:fldChar w:fldCharType="separate"/>
      </w:r>
      <w:r>
        <w:rPr>
          <w:noProof/>
        </w:rPr>
        <w:t>2</w:t>
      </w:r>
      <w:r>
        <w:fldChar w:fldCharType="end"/>
      </w:r>
      <w:r>
        <w:t xml:space="preserve">. </w:t>
      </w:r>
      <w:r w:rsidRPr="008C4972">
        <w:t xml:space="preserve">Utveckling av sex utvalda nyckelord i </w:t>
      </w:r>
      <w:proofErr w:type="spellStart"/>
      <w:r w:rsidRPr="008C4972">
        <w:t>IAF:s</w:t>
      </w:r>
      <w:proofErr w:type="spellEnd"/>
      <w:r w:rsidRPr="008C4972">
        <w:t xml:space="preserve"> granskningsrapporter mellan 2015 och 2026, normaliserat per 1 000 ord. Nyckelorden valdes utifrån den explorativa ordfrekvensanalysen för att belysa förändringar i granskningsfokus över tid.</w:t>
      </w:r>
    </w:p>
    <w:p w14:paraId="4BB19DE1" w14:textId="77777777" w:rsidR="00A20BDF" w:rsidRDefault="00A20BDF" w:rsidP="00A20BDF">
      <w:pPr>
        <w:jc w:val="both"/>
        <w:rPr>
          <w:rFonts w:ascii="Times New Roman" w:hAnsi="Times New Roman" w:cs="Times New Roman"/>
        </w:rPr>
      </w:pPr>
    </w:p>
    <w:p w14:paraId="7DEA9649" w14:textId="423C995E" w:rsidR="00484FE0" w:rsidRPr="00484FE0" w:rsidRDefault="00A20BDF" w:rsidP="001465D6">
      <w:pPr>
        <w:pStyle w:val="Heading4"/>
      </w:pPr>
      <w:r w:rsidRPr="00A20BDF">
        <w:t>TF-IDF analys</w:t>
      </w:r>
    </w:p>
    <w:p w14:paraId="3056F54B" w14:textId="2C56AEF8" w:rsidR="00FF5F16" w:rsidRPr="00FF5F16" w:rsidRDefault="00484FE0" w:rsidP="00FF5F16">
      <w:pPr>
        <w:jc w:val="both"/>
        <w:rPr>
          <w:rFonts w:ascii="Times New Roman" w:hAnsi="Times New Roman" w:cs="Times New Roman"/>
        </w:rPr>
      </w:pPr>
      <w:r w:rsidRPr="00484FE0">
        <w:rPr>
          <w:rFonts w:ascii="Times New Roman" w:hAnsi="Times New Roman" w:cs="Times New Roman"/>
        </w:rPr>
        <w:t>TF-IDF-analysen identifierar de ord som är unika för varje enskilt år, snarare än att följa ett fåtal ords utveckling över tid. Medan ordfrekvensanalysen domineras av återkommande kärnbegrepp identifierar TF-IDF de ord som verkligen karaktäriserar varje enskild period</w:t>
      </w:r>
      <w:r w:rsidR="00FF5F16">
        <w:rPr>
          <w:rFonts w:ascii="Times New Roman" w:hAnsi="Times New Roman" w:cs="Times New Roman"/>
        </w:rPr>
        <w:t xml:space="preserve">. </w:t>
      </w:r>
      <w:r w:rsidR="00FF5F16" w:rsidRPr="00FF5F16">
        <w:rPr>
          <w:rFonts w:ascii="Times New Roman" w:hAnsi="Times New Roman" w:cs="Times New Roman"/>
        </w:rPr>
        <w:t>Resultaten visar</w:t>
      </w:r>
      <w:r w:rsidR="00FF5F16">
        <w:rPr>
          <w:rFonts w:ascii="Times New Roman" w:hAnsi="Times New Roman" w:cs="Times New Roman"/>
        </w:rPr>
        <w:t xml:space="preserve"> </w:t>
      </w:r>
      <w:r w:rsidR="00FF5F16" w:rsidRPr="00FF5F16">
        <w:rPr>
          <w:rFonts w:ascii="Times New Roman" w:hAnsi="Times New Roman" w:cs="Times New Roman"/>
        </w:rPr>
        <w:t>tematiska skiften över tid. Under 2015 domineras resultaten av "uppsägningstid" vilket tyder på granskningar kopplade till anställningsvillkor. År 2016 sticker ord som "arbetslandet", "gränsarbetare" och "bosättningsbedömningar" ut, vilket indikerar granskningar relaterade till utländska arbetstagares rätt till ersättning. År 2017 domineras resultaten av "skyddsreglerna" vilket pekar mot granskning av regelefterlevnad. År 2018 framträder ord som "styrelsearbete", "styrelsesammanträden" och "fackförbundet", vilket indikerar granskningar av a-kassornas interna styrning och organisation. Under 2020 dyker ord som "utbildningsplikten", "bristyrken" och "undersköterska" upp, troligen kopplat till förändringar på arbetsmarknaden under covid-pandemin. År 2021 domineras resultaten av "arbetsmarknadsanställningar" och "anställningstid", vilket kan indikera en fortsatt påverkan av pandemin på arbetsmarknaden. Från 2022 börjar ord som "avstängningsutredningar" och "kontrollarbetet" bli framträdande, och från 2024 domineras resultaten av "täckningsgraden", "återkallanden" och "kronofogden". År 2026 framträder ord som "bevisvärdering",</w:t>
      </w:r>
      <w:r w:rsidR="00FF5F16">
        <w:rPr>
          <w:rFonts w:ascii="Times New Roman" w:hAnsi="Times New Roman" w:cs="Times New Roman"/>
        </w:rPr>
        <w:t xml:space="preserve"> </w:t>
      </w:r>
      <w:r w:rsidR="00FF5F16" w:rsidRPr="00FF5F16">
        <w:rPr>
          <w:rFonts w:ascii="Times New Roman" w:hAnsi="Times New Roman" w:cs="Times New Roman"/>
        </w:rPr>
        <w:lastRenderedPageBreak/>
        <w:t>"brottslighet" och "kontrollintensiteten", vilket indikerar en alltmer strikt granskningsprocess.</w:t>
      </w:r>
      <w:r w:rsidR="004953B9">
        <w:rPr>
          <w:noProof/>
        </w:rPr>
        <w:drawing>
          <wp:inline distT="0" distB="0" distL="0" distR="0" wp14:anchorId="719BD53A" wp14:editId="72C2BF17">
            <wp:extent cx="5731510" cy="2897579"/>
            <wp:effectExtent l="0" t="0" r="2540" b="0"/>
            <wp:docPr id="2065752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41313" cy="2902535"/>
                    </a:xfrm>
                    <a:prstGeom prst="rect">
                      <a:avLst/>
                    </a:prstGeom>
                    <a:noFill/>
                    <a:ln>
                      <a:noFill/>
                    </a:ln>
                  </pic:spPr>
                </pic:pic>
              </a:graphicData>
            </a:graphic>
          </wp:inline>
        </w:drawing>
      </w:r>
    </w:p>
    <w:p w14:paraId="154A6474" w14:textId="53DE5C43" w:rsidR="00A20BDF" w:rsidRDefault="00FF5F16" w:rsidP="00FF5F16">
      <w:pPr>
        <w:pStyle w:val="Caption"/>
        <w:jc w:val="both"/>
        <w:rPr>
          <w:rFonts w:ascii="Times New Roman" w:hAnsi="Times New Roman" w:cs="Times New Roman"/>
        </w:rPr>
      </w:pPr>
      <w:r>
        <w:t xml:space="preserve">Figur </w:t>
      </w:r>
      <w:r>
        <w:fldChar w:fldCharType="begin"/>
      </w:r>
      <w:r>
        <w:instrText xml:space="preserve"> SEQ Figur \* ARABIC </w:instrText>
      </w:r>
      <w:r>
        <w:fldChar w:fldCharType="separate"/>
      </w:r>
      <w:r>
        <w:rPr>
          <w:noProof/>
        </w:rPr>
        <w:t>3</w:t>
      </w:r>
      <w:r>
        <w:fldChar w:fldCharType="end"/>
      </w:r>
      <w:r>
        <w:t xml:space="preserve">. </w:t>
      </w:r>
      <w:r w:rsidRPr="00285F77">
        <w:t xml:space="preserve"> Mest unika ord per år i </w:t>
      </w:r>
      <w:proofErr w:type="spellStart"/>
      <w:r w:rsidRPr="00285F77">
        <w:t>IAF:s</w:t>
      </w:r>
      <w:proofErr w:type="spellEnd"/>
      <w:r w:rsidRPr="00285F77">
        <w:t xml:space="preserve"> granskningsrapporter 2015–2026. Ett högt TF-IDF värde indikerar att ordet är vanligt förekommande det aktuella året men ovanligt övriga </w:t>
      </w:r>
      <w:proofErr w:type="gramStart"/>
      <w:r w:rsidRPr="00285F77">
        <w:t>år.</w:t>
      </w:r>
      <w:r>
        <w:t>.</w:t>
      </w:r>
      <w:proofErr w:type="gramEnd"/>
    </w:p>
    <w:p w14:paraId="0A3730B6" w14:textId="7EA55862" w:rsidR="00FF5F16" w:rsidRDefault="00FF5F16" w:rsidP="001465D6">
      <w:pPr>
        <w:pStyle w:val="Heading4"/>
      </w:pPr>
      <w:r w:rsidRPr="00E47373">
        <w:t>Ämnesmodellering (LDA)</w:t>
      </w:r>
    </w:p>
    <w:p w14:paraId="6E7F74C2" w14:textId="6ED55BFF" w:rsidR="00E47373" w:rsidRDefault="00E47373" w:rsidP="00A20BDF">
      <w:pPr>
        <w:jc w:val="both"/>
        <w:rPr>
          <w:rFonts w:ascii="Times New Roman" w:hAnsi="Times New Roman" w:cs="Times New Roman"/>
        </w:rPr>
      </w:pPr>
      <w:r w:rsidRPr="00E47373">
        <w:rPr>
          <w:rFonts w:ascii="Times New Roman" w:hAnsi="Times New Roman" w:cs="Times New Roman"/>
        </w:rPr>
        <w:t>LDA-analysen identifierade sex distinkta teman i korpusen som tolkades och namngavs manuellt utifrån de ord som var mest unika för respektive tema: (1) sanktionsprövningar och likabehandling, (2) arbetsförmedlingens anvisningar och matchning, (3) a-kassornas ekonomi och förvaltning, (4) statistiska uppföljningar av arbetsmarknadsåtgärder, (5) felaktiga utbetalningar och bidragsbrott samt (6) uppföljning av arbetsmarknadsåtgärder och regelefterlevnad.</w:t>
      </w:r>
    </w:p>
    <w:p w14:paraId="1460B258" w14:textId="77777777" w:rsidR="00FF5F16" w:rsidRDefault="00E47373" w:rsidP="00FF5F16">
      <w:pPr>
        <w:keepNext/>
        <w:jc w:val="both"/>
      </w:pPr>
      <w:r>
        <w:rPr>
          <w:noProof/>
        </w:rPr>
        <w:drawing>
          <wp:inline distT="0" distB="0" distL="0" distR="0" wp14:anchorId="4017CC39" wp14:editId="6A059219">
            <wp:extent cx="5731113" cy="3123210"/>
            <wp:effectExtent l="0" t="0" r="3175" b="1270"/>
            <wp:docPr id="1369534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6004" cy="3125875"/>
                    </a:xfrm>
                    <a:prstGeom prst="rect">
                      <a:avLst/>
                    </a:prstGeom>
                    <a:noFill/>
                    <a:ln>
                      <a:noFill/>
                    </a:ln>
                  </pic:spPr>
                </pic:pic>
              </a:graphicData>
            </a:graphic>
          </wp:inline>
        </w:drawing>
      </w:r>
    </w:p>
    <w:p w14:paraId="29FB759F" w14:textId="7AED84AA" w:rsidR="00E47373" w:rsidRDefault="00FF5F16" w:rsidP="00FF5F16">
      <w:pPr>
        <w:pStyle w:val="Caption"/>
        <w:jc w:val="both"/>
        <w:rPr>
          <w:rFonts w:ascii="Times New Roman" w:hAnsi="Times New Roman" w:cs="Times New Roman"/>
        </w:rPr>
      </w:pPr>
      <w:r>
        <w:t xml:space="preserve">Figur </w:t>
      </w:r>
      <w:r>
        <w:fldChar w:fldCharType="begin"/>
      </w:r>
      <w:r>
        <w:instrText xml:space="preserve"> SEQ Figur \* ARABIC </w:instrText>
      </w:r>
      <w:r>
        <w:fldChar w:fldCharType="separate"/>
      </w:r>
      <w:r>
        <w:rPr>
          <w:noProof/>
        </w:rPr>
        <w:t>4</w:t>
      </w:r>
      <w:r>
        <w:fldChar w:fldCharType="end"/>
      </w:r>
      <w:r>
        <w:t xml:space="preserve">. </w:t>
      </w:r>
      <w:r w:rsidRPr="00D92B14">
        <w:t>Mest unika ord per tema i LDA-analysen, baserat på unicitetsanalys. Unicitet mäter hur mycket vanligare ett ord är i ett givet tema jämfört med övriga teman och användes som underlag för att tolka och namnge de sex identifierade temana.</w:t>
      </w:r>
    </w:p>
    <w:p w14:paraId="3D7312A4" w14:textId="0FC58F29" w:rsidR="00E47373" w:rsidRDefault="00E47373" w:rsidP="00A20BDF">
      <w:pPr>
        <w:jc w:val="both"/>
        <w:rPr>
          <w:rFonts w:ascii="Times New Roman" w:hAnsi="Times New Roman" w:cs="Times New Roman"/>
        </w:rPr>
      </w:pPr>
      <w:r w:rsidRPr="00E47373">
        <w:rPr>
          <w:rFonts w:ascii="Times New Roman" w:hAnsi="Times New Roman" w:cs="Times New Roman"/>
        </w:rPr>
        <w:lastRenderedPageBreak/>
        <w:t xml:space="preserve">Temafördelningen över tid visar att </w:t>
      </w:r>
      <w:proofErr w:type="spellStart"/>
      <w:r w:rsidRPr="00E47373">
        <w:rPr>
          <w:rFonts w:ascii="Times New Roman" w:hAnsi="Times New Roman" w:cs="Times New Roman"/>
        </w:rPr>
        <w:t>IAF:s</w:t>
      </w:r>
      <w:proofErr w:type="spellEnd"/>
      <w:r w:rsidRPr="00E47373">
        <w:rPr>
          <w:rFonts w:ascii="Times New Roman" w:hAnsi="Times New Roman" w:cs="Times New Roman"/>
        </w:rPr>
        <w:t xml:space="preserve"> granskningsfokus förändrats markant sedan 2015. Under de tidiga åren dominerade tema 3 (A-kassornas ekonomi och förvaltning) och tema 2 (Arbetsförmedlingens anvisningar och matchning). Från 2021 växer tema 4 (Statistiska uppföljningar) och tema 1 (Sanktionsprövningar och likabehandling) i betydelse. Från 2023 och framåt tar tema 5 (Felaktiga utbetalningar och bidragsbrott) alltmer plats, vilket är konsistent med resultaten från både ordfrekvens- och TF-IDF-analyserna.</w:t>
      </w:r>
    </w:p>
    <w:p w14:paraId="08D63B75" w14:textId="77777777" w:rsidR="00FF5F16" w:rsidRDefault="00E47373" w:rsidP="00FF5F16">
      <w:pPr>
        <w:keepNext/>
        <w:jc w:val="both"/>
      </w:pPr>
      <w:r>
        <w:rPr>
          <w:noProof/>
        </w:rPr>
        <w:drawing>
          <wp:inline distT="0" distB="0" distL="0" distR="0" wp14:anchorId="4831AF2F" wp14:editId="4514101E">
            <wp:extent cx="5725342" cy="3396343"/>
            <wp:effectExtent l="0" t="0" r="8890" b="0"/>
            <wp:docPr id="11551025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72231" cy="3424158"/>
                    </a:xfrm>
                    <a:prstGeom prst="rect">
                      <a:avLst/>
                    </a:prstGeom>
                    <a:noFill/>
                    <a:ln>
                      <a:noFill/>
                    </a:ln>
                  </pic:spPr>
                </pic:pic>
              </a:graphicData>
            </a:graphic>
          </wp:inline>
        </w:drawing>
      </w:r>
    </w:p>
    <w:p w14:paraId="28724AF1" w14:textId="0B73A706" w:rsidR="00E47373" w:rsidRDefault="00FF5F16" w:rsidP="00FF5F16">
      <w:pPr>
        <w:pStyle w:val="Caption"/>
        <w:jc w:val="both"/>
        <w:rPr>
          <w:rFonts w:ascii="Times New Roman" w:hAnsi="Times New Roman" w:cs="Times New Roman"/>
        </w:rPr>
      </w:pPr>
      <w:r>
        <w:t xml:space="preserve">Figur </w:t>
      </w:r>
      <w:r>
        <w:fldChar w:fldCharType="begin"/>
      </w:r>
      <w:r>
        <w:instrText xml:space="preserve"> SEQ Figur \* ARABIC </w:instrText>
      </w:r>
      <w:r>
        <w:fldChar w:fldCharType="separate"/>
      </w:r>
      <w:r>
        <w:rPr>
          <w:noProof/>
        </w:rPr>
        <w:t>5</w:t>
      </w:r>
      <w:r>
        <w:fldChar w:fldCharType="end"/>
      </w:r>
      <w:r>
        <w:t xml:space="preserve">. </w:t>
      </w:r>
      <w:r w:rsidRPr="00843A1C">
        <w:t xml:space="preserve">Temafördelning i </w:t>
      </w:r>
      <w:proofErr w:type="spellStart"/>
      <w:r w:rsidRPr="00843A1C">
        <w:t>IAF:s</w:t>
      </w:r>
      <w:proofErr w:type="spellEnd"/>
      <w:r w:rsidRPr="00843A1C">
        <w:t xml:space="preserve"> granskningsrapporter per år, baserat på LDA-analys med 6 teman. Varje stapel visar den genomsnittliga andelen av varje tema bland rapporterna det aktuella året, beräknat utifrån dokumentens gamma-värden.</w:t>
      </w:r>
    </w:p>
    <w:p w14:paraId="4134B254" w14:textId="2090942D" w:rsidR="005209F8" w:rsidRPr="00FF5F16" w:rsidRDefault="00490879" w:rsidP="001465D6">
      <w:pPr>
        <w:pStyle w:val="Heading4"/>
      </w:pPr>
      <w:r w:rsidRPr="00FF5F16">
        <w:t>Sammanfattning diskussion</w:t>
      </w:r>
    </w:p>
    <w:p w14:paraId="36699238" w14:textId="07F58E75" w:rsidR="006B7949" w:rsidRPr="006B7949" w:rsidRDefault="000B3A60" w:rsidP="006B7949">
      <w:pPr>
        <w:spacing w:line="240" w:lineRule="auto"/>
        <w:jc w:val="both"/>
        <w:rPr>
          <w:rFonts w:ascii="Times New Roman" w:hAnsi="Times New Roman" w:cs="Times New Roman"/>
        </w:rPr>
      </w:pPr>
      <w:r w:rsidRPr="000B3A60">
        <w:rPr>
          <w:rFonts w:ascii="Times New Roman" w:hAnsi="Times New Roman" w:cs="Times New Roman"/>
        </w:rPr>
        <w:t xml:space="preserve">Analysen av </w:t>
      </w:r>
      <w:proofErr w:type="spellStart"/>
      <w:r w:rsidRPr="000B3A60">
        <w:rPr>
          <w:rFonts w:ascii="Times New Roman" w:hAnsi="Times New Roman" w:cs="Times New Roman"/>
        </w:rPr>
        <w:t>IAF:s</w:t>
      </w:r>
      <w:proofErr w:type="spellEnd"/>
      <w:r w:rsidRPr="000B3A60">
        <w:rPr>
          <w:rFonts w:ascii="Times New Roman" w:hAnsi="Times New Roman" w:cs="Times New Roman"/>
        </w:rPr>
        <w:t xml:space="preserve"> 223 granskningsrapporter mellan 2015 och 2026 indikerar ett skifte i myndighetens granskningsfokus. Ordfrekvensanalysen tjänar primärt ett explorativt syfte och ger en övergripande bild av vilka ord som dominerar och förändras över tid. De mer robusta slutsatserna baseras på TF-IDF- och LDA-analyserna</w:t>
      </w:r>
      <w:r w:rsidR="006B7949" w:rsidRPr="006B7949">
        <w:rPr>
          <w:rFonts w:ascii="Times New Roman" w:hAnsi="Times New Roman" w:cs="Times New Roman"/>
        </w:rPr>
        <w:t>.</w:t>
      </w:r>
    </w:p>
    <w:p w14:paraId="31D7F74C" w14:textId="611CEFFD" w:rsidR="006B7949" w:rsidRPr="006B7949" w:rsidRDefault="00C7633E" w:rsidP="006B7949">
      <w:pPr>
        <w:spacing w:line="240" w:lineRule="auto"/>
        <w:jc w:val="both"/>
        <w:rPr>
          <w:rFonts w:ascii="Times New Roman" w:hAnsi="Times New Roman" w:cs="Times New Roman"/>
        </w:rPr>
      </w:pPr>
      <w:r w:rsidRPr="00C7633E">
        <w:rPr>
          <w:rFonts w:ascii="Times New Roman" w:hAnsi="Times New Roman" w:cs="Times New Roman"/>
        </w:rPr>
        <w:t xml:space="preserve">TF-IDF-analysen visar att de ord som karaktäriserar de senare åren i allt högre grad är kopplade till granskning av felaktiga utbetalningar. Från 2022 blir ord som "avstängningsutredningar" och "kontrollarbete" framträdande, och från 2024 domineras resultaten av "täckningsgraden", "återkallanden" och "kronofogden" – begrepp som är direkt förknippade med kontroll och återkrav av felaktiga utbetalningar. </w:t>
      </w:r>
      <w:r w:rsidR="00665060" w:rsidRPr="00665060">
        <w:rPr>
          <w:rFonts w:ascii="Times New Roman" w:hAnsi="Times New Roman" w:cs="Times New Roman"/>
        </w:rPr>
        <w:t>LDA-analysen bekräftar detta mönster genom att visa att ett tema kring felaktiga utbetalningar och bidragsbrott gradvis växer fram från 2022 och framåt</w:t>
      </w:r>
      <w:r w:rsidRPr="00C7633E">
        <w:rPr>
          <w:rFonts w:ascii="Times New Roman" w:hAnsi="Times New Roman" w:cs="Times New Roman"/>
        </w:rPr>
        <w:t>.</w:t>
      </w:r>
      <w:r>
        <w:rPr>
          <w:rFonts w:ascii="Times New Roman" w:hAnsi="Times New Roman" w:cs="Times New Roman"/>
        </w:rPr>
        <w:t xml:space="preserve"> </w:t>
      </w:r>
      <w:r w:rsidR="006B7949" w:rsidRPr="006B7949">
        <w:rPr>
          <w:rFonts w:ascii="Times New Roman" w:hAnsi="Times New Roman" w:cs="Times New Roman"/>
        </w:rPr>
        <w:t>Skiftet sammanfaller med ett</w:t>
      </w:r>
      <w:r>
        <w:rPr>
          <w:rFonts w:ascii="Times New Roman" w:hAnsi="Times New Roman" w:cs="Times New Roman"/>
        </w:rPr>
        <w:t xml:space="preserve"> </w:t>
      </w:r>
      <w:r w:rsidR="006B7949" w:rsidRPr="006B7949">
        <w:rPr>
          <w:rFonts w:ascii="Times New Roman" w:hAnsi="Times New Roman" w:cs="Times New Roman"/>
        </w:rPr>
        <w:t>regeringsuppdrag från 2021 där IAF gavs i uppdrag att analysera och motverka felaktiga utbetalningar inom arbetslöshetsförsäkringen (IAF, 2021), vilket indikerar att förändringen i granskningsfokus delvis är politiskt driven.</w:t>
      </w:r>
    </w:p>
    <w:p w14:paraId="240CC474" w14:textId="77777777" w:rsidR="006B7949" w:rsidRDefault="006B7949" w:rsidP="005209F8">
      <w:pPr>
        <w:spacing w:line="240" w:lineRule="auto"/>
        <w:jc w:val="both"/>
        <w:rPr>
          <w:rFonts w:ascii="Times New Roman" w:hAnsi="Times New Roman" w:cs="Times New Roman"/>
        </w:rPr>
      </w:pPr>
    </w:p>
    <w:p w14:paraId="05F3FE4C" w14:textId="77777777" w:rsidR="00FF5F16" w:rsidRDefault="00FF5F16" w:rsidP="005209F8">
      <w:pPr>
        <w:spacing w:line="240" w:lineRule="auto"/>
        <w:jc w:val="both"/>
        <w:rPr>
          <w:rFonts w:ascii="Times New Roman" w:hAnsi="Times New Roman" w:cs="Times New Roman"/>
        </w:rPr>
      </w:pPr>
    </w:p>
    <w:p w14:paraId="704E5851" w14:textId="77777777" w:rsidR="00C7633E" w:rsidRDefault="00C7633E" w:rsidP="005209F8">
      <w:pPr>
        <w:spacing w:line="240" w:lineRule="auto"/>
        <w:jc w:val="both"/>
        <w:rPr>
          <w:rFonts w:ascii="Times New Roman" w:hAnsi="Times New Roman" w:cs="Times New Roman"/>
        </w:rPr>
      </w:pPr>
    </w:p>
    <w:p w14:paraId="5E8F6811" w14:textId="14832375" w:rsidR="005209F8" w:rsidRPr="00FF5F16" w:rsidRDefault="005209F8" w:rsidP="005209F8">
      <w:pPr>
        <w:spacing w:line="240" w:lineRule="auto"/>
        <w:jc w:val="both"/>
        <w:rPr>
          <w:rFonts w:ascii="Times New Roman" w:hAnsi="Times New Roman" w:cs="Times New Roman"/>
          <w:b/>
          <w:bCs/>
        </w:rPr>
      </w:pPr>
      <w:r w:rsidRPr="00FF5F16">
        <w:rPr>
          <w:rFonts w:ascii="Times New Roman" w:hAnsi="Times New Roman" w:cs="Times New Roman"/>
          <w:b/>
          <w:bCs/>
        </w:rPr>
        <w:lastRenderedPageBreak/>
        <w:t>Referenser</w:t>
      </w:r>
    </w:p>
    <w:p w14:paraId="7C15FABB" w14:textId="62FEFDB1" w:rsidR="005209F8" w:rsidRPr="005209F8" w:rsidRDefault="005209F8" w:rsidP="005209F8">
      <w:pPr>
        <w:pStyle w:val="font-claude-response-body"/>
        <w:rPr>
          <w:lang w:val="en-US"/>
        </w:rPr>
      </w:pPr>
      <w:proofErr w:type="spellStart"/>
      <w:r w:rsidRPr="005209F8">
        <w:t>Blei</w:t>
      </w:r>
      <w:proofErr w:type="spellEnd"/>
      <w:r w:rsidRPr="005209F8">
        <w:t xml:space="preserve">, D. M., </w:t>
      </w:r>
      <w:proofErr w:type="spellStart"/>
      <w:r w:rsidRPr="005209F8">
        <w:t>Ng</w:t>
      </w:r>
      <w:proofErr w:type="spellEnd"/>
      <w:r w:rsidRPr="005209F8">
        <w:t xml:space="preserve">, A. Y. &amp; Jordan, M. I. (2003). </w:t>
      </w:r>
      <w:r w:rsidRPr="005209F8">
        <w:rPr>
          <w:lang w:val="en-US"/>
        </w:rPr>
        <w:t xml:space="preserve">Latent Dirichlet Allocation. </w:t>
      </w:r>
      <w:r w:rsidRPr="005209F8">
        <w:rPr>
          <w:rStyle w:val="Emphasis"/>
          <w:lang w:val="en-US"/>
        </w:rPr>
        <w:t>Journal of Machine Learning Research</w:t>
      </w:r>
      <w:r w:rsidRPr="005209F8">
        <w:rPr>
          <w:lang w:val="en-US"/>
        </w:rPr>
        <w:t>, 3, 993–1022.</w:t>
      </w:r>
      <w:r w:rsidR="00FC675F">
        <w:rPr>
          <w:lang w:val="en-US"/>
        </w:rPr>
        <w:t xml:space="preserve"> </w:t>
      </w:r>
      <w:r w:rsidR="00FC675F" w:rsidRPr="00FC675F">
        <w:rPr>
          <w:lang w:val="en-US"/>
        </w:rPr>
        <w:t>https://www.jmlr.org/papers/volume3/blei03a/blei03a.pdf</w:t>
      </w:r>
    </w:p>
    <w:p w14:paraId="7240D549" w14:textId="77777777" w:rsidR="005209F8" w:rsidRPr="005209F8" w:rsidRDefault="005209F8" w:rsidP="005209F8">
      <w:pPr>
        <w:pStyle w:val="font-claude-response-body"/>
      </w:pPr>
      <w:r w:rsidRPr="005209F8">
        <w:t xml:space="preserve">Inspektionen för arbetslöshetsförsäkringen (2021). </w:t>
      </w:r>
      <w:r w:rsidRPr="005209F8">
        <w:rPr>
          <w:rStyle w:val="Emphasis"/>
        </w:rPr>
        <w:t>Identifierade risker för felaktiga utbetalningar och bidragsbrott inom arbetslöshetsförsäkringen</w:t>
      </w:r>
      <w:r w:rsidRPr="005209F8">
        <w:t xml:space="preserve"> (Rapport 2021:9). Hämtad från: </w:t>
      </w:r>
      <w:hyperlink r:id="rId13" w:history="1">
        <w:r w:rsidRPr="005209F8">
          <w:rPr>
            <w:rStyle w:val="Hyperlink"/>
          </w:rPr>
          <w:t>https://www.iaf.se/granskning/rapporter/2021/identifierade-risker-for-felaktiga-utbetalningar-och-bidragsbrott-inom-arbetsloshetsforsakringen/</w:t>
        </w:r>
      </w:hyperlink>
    </w:p>
    <w:p w14:paraId="3C434D60" w14:textId="77777777" w:rsidR="005209F8" w:rsidRPr="005209F8" w:rsidRDefault="005209F8" w:rsidP="005209F8">
      <w:pPr>
        <w:pStyle w:val="font-claude-response-body"/>
      </w:pPr>
      <w:r w:rsidRPr="005209F8">
        <w:t xml:space="preserve">Inspektionen för arbetslöshetsförsäkringen (2026). </w:t>
      </w:r>
      <w:r w:rsidRPr="005209F8">
        <w:rPr>
          <w:rStyle w:val="Emphasis"/>
        </w:rPr>
        <w:t>Granskningsrapporter 2015–2026</w:t>
      </w:r>
      <w:r w:rsidRPr="005209F8">
        <w:t xml:space="preserve">. Hämtad från: </w:t>
      </w:r>
      <w:hyperlink r:id="rId14" w:history="1">
        <w:r w:rsidRPr="005209F8">
          <w:rPr>
            <w:rStyle w:val="Hyperlink"/>
          </w:rPr>
          <w:t>https://www.iaf.se/granskning/rapporter/</w:t>
        </w:r>
      </w:hyperlink>
    </w:p>
    <w:p w14:paraId="7CFC3F74" w14:textId="77777777" w:rsidR="005209F8" w:rsidRPr="005209F8" w:rsidRDefault="005209F8" w:rsidP="005209F8">
      <w:pPr>
        <w:pStyle w:val="font-claude-response-body"/>
      </w:pPr>
      <w:proofErr w:type="spellStart"/>
      <w:r w:rsidRPr="005209F8">
        <w:rPr>
          <w:lang w:val="en-US"/>
        </w:rPr>
        <w:t>Silge</w:t>
      </w:r>
      <w:proofErr w:type="spellEnd"/>
      <w:r w:rsidRPr="005209F8">
        <w:rPr>
          <w:lang w:val="en-US"/>
        </w:rPr>
        <w:t xml:space="preserve">, J. &amp; Robinson, D. (2017). </w:t>
      </w:r>
      <w:r w:rsidRPr="005209F8">
        <w:rPr>
          <w:rStyle w:val="Emphasis"/>
          <w:lang w:val="en-US"/>
        </w:rPr>
        <w:t>Text Mining with R: A Tidy Approach</w:t>
      </w:r>
      <w:r w:rsidRPr="005209F8">
        <w:rPr>
          <w:lang w:val="en-US"/>
        </w:rPr>
        <w:t xml:space="preserve">. </w:t>
      </w:r>
      <w:proofErr w:type="spellStart"/>
      <w:r w:rsidRPr="005209F8">
        <w:t>O'Reilly</w:t>
      </w:r>
      <w:proofErr w:type="spellEnd"/>
      <w:r w:rsidRPr="005209F8">
        <w:t xml:space="preserve"> Media. Hämtad från: </w:t>
      </w:r>
      <w:hyperlink r:id="rId15" w:history="1">
        <w:r w:rsidRPr="005209F8">
          <w:rPr>
            <w:rStyle w:val="Hyperlink"/>
          </w:rPr>
          <w:t>https://www.tidytextmining.com</w:t>
        </w:r>
      </w:hyperlink>
    </w:p>
    <w:p w14:paraId="74F2AE7D" w14:textId="77777777" w:rsidR="005209F8" w:rsidRPr="00A20BDF" w:rsidRDefault="005209F8" w:rsidP="00A20BDF">
      <w:pPr>
        <w:jc w:val="both"/>
        <w:rPr>
          <w:rFonts w:ascii="Times New Roman" w:hAnsi="Times New Roman" w:cs="Times New Roman"/>
        </w:rPr>
      </w:pPr>
    </w:p>
    <w:sectPr w:rsidR="005209F8" w:rsidRPr="00A20BDF" w:rsidSect="00E77D1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5AB69" w14:textId="77777777" w:rsidR="00A06376" w:rsidRDefault="00A06376" w:rsidP="00AB045D">
      <w:pPr>
        <w:spacing w:after="0" w:line="240" w:lineRule="auto"/>
      </w:pPr>
      <w:r>
        <w:separator/>
      </w:r>
    </w:p>
  </w:endnote>
  <w:endnote w:type="continuationSeparator" w:id="0">
    <w:p w14:paraId="1868E267" w14:textId="77777777" w:rsidR="00A06376" w:rsidRDefault="00A06376" w:rsidP="00AB04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A20FA" w14:textId="77777777" w:rsidR="00A06376" w:rsidRDefault="00A06376" w:rsidP="00AB045D">
      <w:pPr>
        <w:spacing w:after="0" w:line="240" w:lineRule="auto"/>
      </w:pPr>
      <w:r>
        <w:separator/>
      </w:r>
    </w:p>
  </w:footnote>
  <w:footnote w:type="continuationSeparator" w:id="0">
    <w:p w14:paraId="57C2258C" w14:textId="77777777" w:rsidR="00A06376" w:rsidRDefault="00A06376" w:rsidP="00AB045D">
      <w:pPr>
        <w:spacing w:after="0" w:line="240" w:lineRule="auto"/>
      </w:pPr>
      <w:r>
        <w:continuationSeparator/>
      </w:r>
    </w:p>
  </w:footnote>
  <w:footnote w:id="1">
    <w:p w14:paraId="6E67BB42" w14:textId="5FE645EA" w:rsidR="00AB045D" w:rsidRPr="00AB045D" w:rsidRDefault="00AB045D">
      <w:pPr>
        <w:pStyle w:val="FootnoteText"/>
        <w:rPr>
          <w:lang w:val="en-SE"/>
        </w:rPr>
      </w:pPr>
      <w:r>
        <w:rPr>
          <w:rStyle w:val="FootnoteReference"/>
        </w:rPr>
        <w:footnoteRef/>
      </w:r>
      <w:r>
        <w:t xml:space="preserve"> </w:t>
      </w:r>
      <w:r>
        <w:rPr>
          <w:lang w:val="en-SE"/>
        </w:rPr>
        <w:t xml:space="preserve">Detta </w:t>
      </w:r>
      <w:proofErr w:type="spellStart"/>
      <w:r>
        <w:rPr>
          <w:lang w:val="en-SE"/>
        </w:rPr>
        <w:t>i</w:t>
      </w:r>
      <w:proofErr w:type="spellEnd"/>
      <w:r>
        <w:rPr>
          <w:lang w:val="en-SE"/>
        </w:rPr>
        <w:t xml:space="preserve"> </w:t>
      </w:r>
      <w:proofErr w:type="spellStart"/>
      <w:r>
        <w:rPr>
          <w:lang w:val="en-SE"/>
        </w:rPr>
        <w:t>syfte</w:t>
      </w:r>
      <w:proofErr w:type="spellEnd"/>
      <w:r>
        <w:rPr>
          <w:lang w:val="en-SE"/>
        </w:rPr>
        <w:t xml:space="preserve"> </w:t>
      </w:r>
      <w:proofErr w:type="spellStart"/>
      <w:r>
        <w:rPr>
          <w:lang w:val="en-SE"/>
        </w:rPr>
        <w:t>att</w:t>
      </w:r>
      <w:proofErr w:type="spellEnd"/>
      <w:r>
        <w:rPr>
          <w:lang w:val="en-SE"/>
        </w:rPr>
        <w:t xml:space="preserve"> </w:t>
      </w:r>
      <w:proofErr w:type="spellStart"/>
      <w:r>
        <w:rPr>
          <w:lang w:val="en-SE"/>
        </w:rPr>
        <w:t>göra</w:t>
      </w:r>
      <w:proofErr w:type="spellEnd"/>
      <w:r>
        <w:rPr>
          <w:lang w:val="en-SE"/>
        </w:rPr>
        <w:t xml:space="preserve"> </w:t>
      </w:r>
      <w:proofErr w:type="spellStart"/>
      <w:r>
        <w:rPr>
          <w:lang w:val="en-SE"/>
        </w:rPr>
        <w:t>reproduceringen</w:t>
      </w:r>
      <w:proofErr w:type="spellEnd"/>
      <w:r>
        <w:rPr>
          <w:lang w:val="en-SE"/>
        </w:rPr>
        <w:t xml:space="preserve"> </w:t>
      </w:r>
      <w:proofErr w:type="spellStart"/>
      <w:r>
        <w:rPr>
          <w:lang w:val="en-SE"/>
        </w:rPr>
        <w:t>enklare</w:t>
      </w:r>
      <w:proofErr w:type="spellEnd"/>
      <w:r>
        <w:rPr>
          <w:lang w:val="en-SE"/>
        </w:rPr>
        <w:t>.</w:t>
      </w:r>
    </w:p>
  </w:footnote>
  <w:footnote w:id="2">
    <w:p w14:paraId="29BCA279" w14:textId="4688BE35" w:rsidR="008C6022" w:rsidRPr="008C6022" w:rsidRDefault="008C6022">
      <w:pPr>
        <w:pStyle w:val="FootnoteText"/>
      </w:pPr>
      <w:r>
        <w:rPr>
          <w:rStyle w:val="FootnoteReference"/>
        </w:rPr>
        <w:footnoteRef/>
      </w:r>
      <w:r>
        <w:t xml:space="preserve"> </w:t>
      </w:r>
      <w:r>
        <w:t>Ordet "män" exkluderas från stapeldiagrammet till följd av ett tekniskt filter som tar bort ord kortare än fyra bokstäver, men förekommer i liknande frekvens som "kvinnor" vilket framgår av nyckelordstrenden</w:t>
      </w:r>
      <w:r>
        <w:t xml:space="preserve"> (figur 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5C73C6"/>
    <w:multiLevelType w:val="multilevel"/>
    <w:tmpl w:val="91643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3651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B7A"/>
    <w:rsid w:val="00096ADE"/>
    <w:rsid w:val="000B3A60"/>
    <w:rsid w:val="000E4037"/>
    <w:rsid w:val="001465D6"/>
    <w:rsid w:val="00196C94"/>
    <w:rsid w:val="0022413A"/>
    <w:rsid w:val="002835AC"/>
    <w:rsid w:val="00293DCA"/>
    <w:rsid w:val="002D46EA"/>
    <w:rsid w:val="00484FE0"/>
    <w:rsid w:val="00490879"/>
    <w:rsid w:val="004953B9"/>
    <w:rsid w:val="005209F8"/>
    <w:rsid w:val="00574FAA"/>
    <w:rsid w:val="00594B7A"/>
    <w:rsid w:val="005A78F3"/>
    <w:rsid w:val="00641A58"/>
    <w:rsid w:val="00665060"/>
    <w:rsid w:val="006B7949"/>
    <w:rsid w:val="006D1310"/>
    <w:rsid w:val="006E0872"/>
    <w:rsid w:val="007669A0"/>
    <w:rsid w:val="007B0DCC"/>
    <w:rsid w:val="008B4D53"/>
    <w:rsid w:val="008C6022"/>
    <w:rsid w:val="008E74EA"/>
    <w:rsid w:val="00A06376"/>
    <w:rsid w:val="00A20BDF"/>
    <w:rsid w:val="00A55A77"/>
    <w:rsid w:val="00A95382"/>
    <w:rsid w:val="00AB045D"/>
    <w:rsid w:val="00AD5C24"/>
    <w:rsid w:val="00B931B4"/>
    <w:rsid w:val="00C354D8"/>
    <w:rsid w:val="00C7633E"/>
    <w:rsid w:val="00CE225D"/>
    <w:rsid w:val="00D20EEC"/>
    <w:rsid w:val="00D30314"/>
    <w:rsid w:val="00DA56D5"/>
    <w:rsid w:val="00E47373"/>
    <w:rsid w:val="00E60B34"/>
    <w:rsid w:val="00E77D1C"/>
    <w:rsid w:val="00EC3F15"/>
    <w:rsid w:val="00EF2046"/>
    <w:rsid w:val="00FC675F"/>
    <w:rsid w:val="00FF5F16"/>
  </w:rsids>
  <m:mathPr>
    <m:mathFont m:val="Cambria Math"/>
    <m:brkBin m:val="before"/>
    <m:brkBinSub m:val="--"/>
    <m:smallFrac m:val="0"/>
    <m:dispDef/>
    <m:lMargin m:val="0"/>
    <m:rMargin m:val="0"/>
    <m:defJc m:val="centerGroup"/>
    <m:wrapIndent m:val="1440"/>
    <m:intLim m:val="subSup"/>
    <m:naryLim m:val="undOvr"/>
  </m:mathPr>
  <w:themeFontLang w:val="en-S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C4B3A"/>
  <w15:chartTrackingRefBased/>
  <w15:docId w15:val="{FE5842DA-1F76-490B-8203-3E9B3224A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4B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94B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94B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94B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4B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4B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B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B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B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B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94B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94B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94B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4B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4B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B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B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B7A"/>
    <w:rPr>
      <w:rFonts w:eastAsiaTheme="majorEastAsia" w:cstheme="majorBidi"/>
      <w:color w:val="272727" w:themeColor="text1" w:themeTint="D8"/>
    </w:rPr>
  </w:style>
  <w:style w:type="paragraph" w:styleId="Title">
    <w:name w:val="Title"/>
    <w:basedOn w:val="Normal"/>
    <w:next w:val="Normal"/>
    <w:link w:val="TitleChar"/>
    <w:uiPriority w:val="10"/>
    <w:qFormat/>
    <w:rsid w:val="00594B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B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B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B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B7A"/>
    <w:pPr>
      <w:spacing w:before="160"/>
      <w:jc w:val="center"/>
    </w:pPr>
    <w:rPr>
      <w:i/>
      <w:iCs/>
      <w:color w:val="404040" w:themeColor="text1" w:themeTint="BF"/>
    </w:rPr>
  </w:style>
  <w:style w:type="character" w:customStyle="1" w:styleId="QuoteChar">
    <w:name w:val="Quote Char"/>
    <w:basedOn w:val="DefaultParagraphFont"/>
    <w:link w:val="Quote"/>
    <w:uiPriority w:val="29"/>
    <w:rsid w:val="00594B7A"/>
    <w:rPr>
      <w:i/>
      <w:iCs/>
      <w:color w:val="404040" w:themeColor="text1" w:themeTint="BF"/>
    </w:rPr>
  </w:style>
  <w:style w:type="paragraph" w:styleId="ListParagraph">
    <w:name w:val="List Paragraph"/>
    <w:basedOn w:val="Normal"/>
    <w:uiPriority w:val="34"/>
    <w:qFormat/>
    <w:rsid w:val="00594B7A"/>
    <w:pPr>
      <w:ind w:left="720"/>
      <w:contextualSpacing/>
    </w:pPr>
  </w:style>
  <w:style w:type="character" w:styleId="IntenseEmphasis">
    <w:name w:val="Intense Emphasis"/>
    <w:basedOn w:val="DefaultParagraphFont"/>
    <w:uiPriority w:val="21"/>
    <w:qFormat/>
    <w:rsid w:val="00594B7A"/>
    <w:rPr>
      <w:i/>
      <w:iCs/>
      <w:color w:val="2F5496" w:themeColor="accent1" w:themeShade="BF"/>
    </w:rPr>
  </w:style>
  <w:style w:type="paragraph" w:styleId="IntenseQuote">
    <w:name w:val="Intense Quote"/>
    <w:basedOn w:val="Normal"/>
    <w:next w:val="Normal"/>
    <w:link w:val="IntenseQuoteChar"/>
    <w:uiPriority w:val="30"/>
    <w:qFormat/>
    <w:rsid w:val="00594B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4B7A"/>
    <w:rPr>
      <w:i/>
      <w:iCs/>
      <w:color w:val="2F5496" w:themeColor="accent1" w:themeShade="BF"/>
    </w:rPr>
  </w:style>
  <w:style w:type="character" w:styleId="IntenseReference">
    <w:name w:val="Intense Reference"/>
    <w:basedOn w:val="DefaultParagraphFont"/>
    <w:uiPriority w:val="32"/>
    <w:qFormat/>
    <w:rsid w:val="00594B7A"/>
    <w:rPr>
      <w:b/>
      <w:bCs/>
      <w:smallCaps/>
      <w:color w:val="2F5496" w:themeColor="accent1" w:themeShade="BF"/>
      <w:spacing w:val="5"/>
    </w:rPr>
  </w:style>
  <w:style w:type="paragraph" w:customStyle="1" w:styleId="font-claude-response-body">
    <w:name w:val="font-claude-response-body"/>
    <w:basedOn w:val="Normal"/>
    <w:rsid w:val="00AB045D"/>
    <w:pPr>
      <w:spacing w:before="100" w:beforeAutospacing="1" w:after="100" w:afterAutospacing="1" w:line="240" w:lineRule="auto"/>
    </w:pPr>
    <w:rPr>
      <w:rFonts w:ascii="Times New Roman" w:eastAsia="Times New Roman" w:hAnsi="Times New Roman" w:cs="Times New Roman"/>
      <w:kern w:val="0"/>
      <w:lang w:eastAsia="sv-SE"/>
      <w14:ligatures w14:val="none"/>
    </w:rPr>
  </w:style>
  <w:style w:type="character" w:styleId="Strong">
    <w:name w:val="Strong"/>
    <w:basedOn w:val="DefaultParagraphFont"/>
    <w:uiPriority w:val="22"/>
    <w:qFormat/>
    <w:rsid w:val="00AB045D"/>
    <w:rPr>
      <w:b/>
      <w:bCs/>
    </w:rPr>
  </w:style>
  <w:style w:type="character" w:styleId="HTMLCode">
    <w:name w:val="HTML Code"/>
    <w:basedOn w:val="DefaultParagraphFont"/>
    <w:uiPriority w:val="99"/>
    <w:semiHidden/>
    <w:unhideWhenUsed/>
    <w:rsid w:val="00AB045D"/>
    <w:rPr>
      <w:rFonts w:ascii="Courier New" w:eastAsia="Times New Roman" w:hAnsi="Courier New" w:cs="Courier New"/>
      <w:sz w:val="20"/>
      <w:szCs w:val="20"/>
    </w:rPr>
  </w:style>
  <w:style w:type="paragraph" w:styleId="FootnoteText">
    <w:name w:val="footnote text"/>
    <w:basedOn w:val="Normal"/>
    <w:link w:val="FootnoteTextChar"/>
    <w:uiPriority w:val="99"/>
    <w:semiHidden/>
    <w:unhideWhenUsed/>
    <w:rsid w:val="00AB045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B045D"/>
    <w:rPr>
      <w:sz w:val="20"/>
      <w:szCs w:val="20"/>
    </w:rPr>
  </w:style>
  <w:style w:type="character" w:styleId="FootnoteReference">
    <w:name w:val="footnote reference"/>
    <w:basedOn w:val="DefaultParagraphFont"/>
    <w:uiPriority w:val="99"/>
    <w:semiHidden/>
    <w:unhideWhenUsed/>
    <w:rsid w:val="00AB045D"/>
    <w:rPr>
      <w:vertAlign w:val="superscript"/>
    </w:rPr>
  </w:style>
  <w:style w:type="character" w:styleId="Hyperlink">
    <w:name w:val="Hyperlink"/>
    <w:basedOn w:val="DefaultParagraphFont"/>
    <w:uiPriority w:val="99"/>
    <w:unhideWhenUsed/>
    <w:rsid w:val="005209F8"/>
    <w:rPr>
      <w:color w:val="0563C1" w:themeColor="hyperlink"/>
      <w:u w:val="single"/>
    </w:rPr>
  </w:style>
  <w:style w:type="character" w:styleId="UnresolvedMention">
    <w:name w:val="Unresolved Mention"/>
    <w:basedOn w:val="DefaultParagraphFont"/>
    <w:uiPriority w:val="99"/>
    <w:semiHidden/>
    <w:unhideWhenUsed/>
    <w:rsid w:val="005209F8"/>
    <w:rPr>
      <w:color w:val="605E5C"/>
      <w:shd w:val="clear" w:color="auto" w:fill="E1DFDD"/>
    </w:rPr>
  </w:style>
  <w:style w:type="character" w:styleId="FollowedHyperlink">
    <w:name w:val="FollowedHyperlink"/>
    <w:basedOn w:val="DefaultParagraphFont"/>
    <w:uiPriority w:val="99"/>
    <w:semiHidden/>
    <w:unhideWhenUsed/>
    <w:rsid w:val="005209F8"/>
    <w:rPr>
      <w:color w:val="954F72" w:themeColor="followedHyperlink"/>
      <w:u w:val="single"/>
    </w:rPr>
  </w:style>
  <w:style w:type="character" w:styleId="Emphasis">
    <w:name w:val="Emphasis"/>
    <w:basedOn w:val="DefaultParagraphFont"/>
    <w:uiPriority w:val="20"/>
    <w:qFormat/>
    <w:rsid w:val="005209F8"/>
    <w:rPr>
      <w:i/>
      <w:iCs/>
    </w:rPr>
  </w:style>
  <w:style w:type="paragraph" w:styleId="Caption">
    <w:name w:val="caption"/>
    <w:basedOn w:val="Normal"/>
    <w:next w:val="Normal"/>
    <w:uiPriority w:val="35"/>
    <w:unhideWhenUsed/>
    <w:qFormat/>
    <w:rsid w:val="008C6022"/>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iaf.se/granskning/rapporter/2021/identifierade-risker-for-felaktiga-utbetalningar-och-bidragsbrott-inom-arbetsloshetsforsakringe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tidytextmining.com"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iaf.se/granskning/rapporter/"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C2675B-FDA0-4002-A237-ADF4EFAD8B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TotalTime>
  <Pages>6</Pages>
  <Words>1619</Words>
  <Characters>8586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Bjuhr</dc:creator>
  <cp:keywords/>
  <dc:description/>
  <cp:lastModifiedBy>Daniel Bjuhr</cp:lastModifiedBy>
  <cp:revision>37</cp:revision>
  <cp:lastPrinted>2026-06-11T10:15:00Z</cp:lastPrinted>
  <dcterms:created xsi:type="dcterms:W3CDTF">2026-06-09T11:30:00Z</dcterms:created>
  <dcterms:modified xsi:type="dcterms:W3CDTF">2026-06-11T10:25:00Z</dcterms:modified>
</cp:coreProperties>
</file>