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4.png" ContentType="image/png"/>
  <Override PartName="/word/media/rId122.png" ContentType="image/png"/>
  <Override PartName="/word/media/rId107.png" ContentType="image/png"/>
  <Override PartName="/word/media/rId116.png" ContentType="image/png"/>
  <Override PartName="/word/media/rId58.png" ContentType="image/png"/>
  <Override PartName="/word/media/rId126.png" ContentType="image/png"/>
  <Override PartName="/word/media/rId97.png" ContentType="image/png"/>
  <Override PartName="/word/media/rId76.png" ContentType="image/png"/>
  <Override PartName="/word/media/rId78.png" ContentType="image/png"/>
  <Override PartName="/word/media/rId125.png" ContentType="image/png"/>
  <Override PartName="/word/media/rId133.png" ContentType="image/png"/>
  <Override PartName="/word/media/rId134.png" ContentType="image/png"/>
  <Override PartName="/word/media/rId135.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February</w:t>
      </w:r>
      <w:r>
        <w:t xml:space="preserve"> </w:t>
      </w:r>
      <w:r>
        <w:t xml:space="preserve">07</w:t>
      </w:r>
      <w:r>
        <w:t xml:space="preserve"> </w:t>
      </w:r>
      <w:r>
        <w:t xml:space="preserve">2017</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w:t>
      </w:r>
      <w:r>
        <w:t xml:space="preserve"> </w:t>
      </w:r>
      <w:r>
        <w:t xml:space="preserve">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__Information for the Stacked</w:t>
      </w:r>
      <w:r>
        <w:t xml:space="preserve"> </w:t>
      </w:r>
      <w:hyperlink r:id="rId36">
        <w:r>
          <w:rPr>
            <w:rStyle w:val="Hyperlink"/>
          </w:rPr>
          <w:t xml:space="preserve">File:__</w:t>
        </w:r>
      </w:hyperlink>
    </w:p>
    <w:p>
      <w:pPr>
        <w:pStyle w:val="BodyText"/>
      </w:pPr>
      <w:r>
        <w:t xml:space="preserve">The color coding in the Student column of the Stacked File means the following:</w:t>
      </w:r>
    </w:p>
    <w:p>
      <w:pPr>
        <w:pStyle w:val="Compact"/>
        <w:numPr>
          <w:numId w:val="1005"/>
          <w:ilvl w:val="0"/>
        </w:numPr>
      </w:pPr>
      <w:r>
        <w:t xml:space="preserve">RED There is some problem with this entry, the student who entered the species is informed and works on the species/species again</w:t>
      </w:r>
    </w:p>
    <w:p>
      <w:pPr>
        <w:pStyle w:val="Compact"/>
        <w:numPr>
          <w:numId w:val="1005"/>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w:t>
      </w:r>
      <w:r>
        <w:t xml:space="preserve"> </w:t>
      </w:r>
      <w:r>
        <w:rPr>
          <w:i/>
        </w:rPr>
        <w:t xml:space="preserve">MissingData</w:t>
      </w:r>
      <w:r>
        <w:t xml:space="preserve">) author has been contacted again. Everything else is fine.</w:t>
      </w:r>
    </w:p>
    <w:p>
      <w:pPr>
        <w:pStyle w:val="Compact"/>
        <w:numPr>
          <w:numId w:val="1005"/>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pPr>
        <w:pStyle w:val="Compact"/>
        <w:numPr>
          <w:numId w:val="1005"/>
          <w:ilvl w:val="0"/>
        </w:numPr>
      </w:pPr>
      <w:r>
        <w:t xml:space="preserve">GREEN The entry has been checked twice. No faults have been found. Species/study is ready to go online.</w:t>
      </w:r>
    </w:p>
    <w:p>
      <w:pPr>
        <w:pStyle w:val="FirstParagraph"/>
      </w:pPr>
      <w:r>
        <w:t xml:space="preserve">Note: Excel might color the cell (in green or orange etc.)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w:t>
      </w:r>
      <w:r>
        <w:t xml:space="preserve"> </w:t>
      </w:r>
      <w:r>
        <w:t xml:space="preserve">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w:t>
      </w:r>
      <w:r>
        <w:t xml:space="preserve"> </w:t>
      </w:r>
      <w:r>
        <w:t xml:space="preserve">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6"/>
          <w:ilvl w:val="0"/>
        </w:numPr>
      </w:pPr>
      <w:r>
        <w:rPr>
          <w:b/>
        </w:rPr>
        <w:t xml:space="preserve">M</w:t>
      </w:r>
      <w:r>
        <w:t xml:space="preserve"> </w:t>
      </w:r>
      <w:r>
        <w:t xml:space="preserve">- All matrices missing</w:t>
      </w:r>
    </w:p>
    <w:p>
      <w:pPr>
        <w:pStyle w:val="Compact"/>
        <w:numPr>
          <w:numId w:val="1006"/>
          <w:ilvl w:val="0"/>
        </w:numPr>
      </w:pPr>
      <w:r>
        <w:rPr>
          <w:b/>
        </w:rPr>
        <w:t xml:space="preserve">I</w:t>
      </w:r>
      <w:r>
        <w:t xml:space="preserve"> </w:t>
      </w:r>
      <w:r>
        <w:t xml:space="preserve">- Only individual matrices are missing</w:t>
      </w:r>
    </w:p>
    <w:p>
      <w:pPr>
        <w:pStyle w:val="Compact"/>
        <w:numPr>
          <w:numId w:val="1006"/>
          <w:ilvl w:val="0"/>
        </w:numPr>
      </w:pPr>
      <w:r>
        <w:rPr>
          <w:b/>
        </w:rPr>
        <w:t xml:space="preserve">L</w:t>
      </w:r>
      <w:r>
        <w:t xml:space="preserve"> </w:t>
      </w:r>
      <w:r>
        <w:t xml:space="preserve">- Labels are missing (e.g. information about the populations and years)</w:t>
      </w:r>
    </w:p>
    <w:p>
      <w:pPr>
        <w:pStyle w:val="Compact"/>
        <w:numPr>
          <w:numId w:val="1006"/>
          <w:ilvl w:val="0"/>
        </w:numPr>
      </w:pPr>
      <w:r>
        <w:rPr>
          <w:b/>
        </w:rPr>
        <w:t xml:space="preserve">S</w:t>
      </w:r>
      <w:r>
        <w:t xml:space="preserve"> </w:t>
      </w:r>
      <w:r>
        <w:t xml:space="preserve">- Information about study site missing (e.g. country, geolocation, WithinSite etc)</w:t>
      </w:r>
    </w:p>
    <w:p>
      <w:pPr>
        <w:pStyle w:val="Compact"/>
        <w:numPr>
          <w:numId w:val="1006"/>
          <w:ilvl w:val="0"/>
        </w:numPr>
      </w:pPr>
      <w:r>
        <w:rPr>
          <w:b/>
        </w:rPr>
        <w:t xml:space="preserve">O</w:t>
      </w:r>
      <w:r>
        <w:t xml:space="preserve"> </w:t>
      </w:r>
      <w:r>
        <w:t xml:space="preserve">- Other priority information missing</w:t>
      </w:r>
    </w:p>
    <w:p>
      <w:pPr>
        <w:pStyle w:val="Compact"/>
        <w:numPr>
          <w:numId w:val="1006"/>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studychecked"/>
      <w:bookmarkEnd w:id="43"/>
      <w:r>
        <w:t xml:space="preserve">StudyChecked</w:t>
      </w:r>
    </w:p>
    <w:p>
      <w:pPr>
        <w:pStyle w:val="FirstParagraph"/>
      </w:pPr>
      <w:r>
        <w:t xml:space="preserve">This variable records how much the MPM has been checked by us.</w:t>
      </w:r>
      <w:r>
        <w:t xml:space="preserve"> </w:t>
      </w:r>
      <w:r>
        <w:t xml:space="preserve">It is a numeric variable that gets incremented by +1 each time the data in a set of matrices for a study are checked. The first time the data are entered, StudyChecked is 0 (it has been</w:t>
      </w:r>
      <w:r>
        <w:t xml:space="preserve"> </w:t>
      </w:r>
      <w:r>
        <w:rPr>
          <w:i/>
        </w:rPr>
        <w:t xml:space="preserve">entered</w:t>
      </w:r>
      <w:r>
        <w:t xml:space="preserve"> </w:t>
      </w:r>
      <w:r>
        <w:t xml:space="preserve">not checked). Then, if for whatever reason we revisit the paper/data to check details, we add 1 to the number. e.g. an study that has been entered, then checked twice should have a value of 2.</w:t>
      </w:r>
    </w:p>
    <w:p>
      <w:pPr>
        <w:pStyle w:val="Compact"/>
        <w:numPr>
          <w:numId w:val="1007"/>
          <w:ilvl w:val="0"/>
        </w:numPr>
      </w:pPr>
      <w:r>
        <w:t xml:space="preserve">0 – Digitized only</w:t>
      </w:r>
    </w:p>
    <w:p>
      <w:pPr>
        <w:pStyle w:val="Compact"/>
        <w:numPr>
          <w:numId w:val="1007"/>
          <w:ilvl w:val="0"/>
        </w:numPr>
      </w:pPr>
      <w:r>
        <w:t xml:space="preserve">1 – Error checked once since digitization</w:t>
      </w:r>
    </w:p>
    <w:p>
      <w:pPr>
        <w:pStyle w:val="Compact"/>
        <w:numPr>
          <w:numId w:val="1007"/>
          <w:ilvl w:val="0"/>
        </w:numPr>
      </w:pPr>
      <w:r>
        <w:t xml:space="preserve">2 – Error checked twice since digitization</w:t>
      </w:r>
    </w:p>
    <w:p>
      <w:pPr>
        <w:pStyle w:val="Compact"/>
        <w:numPr>
          <w:numId w:val="1007"/>
          <w:ilvl w:val="0"/>
        </w:numPr>
      </w:pPr>
      <w:r>
        <w:t xml:space="preserve">3 – Error checked three times since digitization</w:t>
      </w:r>
    </w:p>
    <w:p>
      <w:pPr>
        <w:pStyle w:val="Compact"/>
        <w:numPr>
          <w:numId w:val="1007"/>
          <w:ilvl w:val="0"/>
        </w:numPr>
      </w:pPr>
      <w:r>
        <w:t xml:space="preserve">4 – Etc.</w:t>
      </w:r>
    </w:p>
    <w:p>
      <w:pPr>
        <w:pStyle w:val="Heading3"/>
      </w:pPr>
      <w:bookmarkStart w:id="44" w:name="note--"/>
      <w:bookmarkEnd w:id="44"/>
      <w:r>
        <w:t xml:space="preserve">NOTE -</w:t>
      </w:r>
    </w:p>
    <w:p>
      <w:pPr>
        <w:pStyle w:val="FirstParagraph"/>
      </w:pPr>
      <w:r>
        <w:t xml:space="preserve">In the files we are already using there is some colour coding that we can carry on using in the</w:t>
      </w:r>
      <w:r>
        <w:t xml:space="preserve"> </w:t>
      </w:r>
      <w:r>
        <w:rPr>
          <w:i/>
        </w:rPr>
        <w:t xml:space="preserve">Student</w:t>
      </w:r>
      <w:r>
        <w:t xml:space="preserve"> </w:t>
      </w:r>
      <w:r>
        <w:t xml:space="preserve">column. In this column we use ORANGE color to give some indication of check status:</w:t>
      </w:r>
    </w:p>
    <w:p>
      <w:pPr>
        <w:pStyle w:val="BodyText"/>
      </w:pPr>
      <w:r>
        <w:t xml:space="preserve">We will now modify this to two shades of orange:</w:t>
      </w:r>
    </w:p>
    <w:p>
      <w:pPr>
        <w:numPr>
          <w:numId w:val="1008"/>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 MissingData) author has been contacted again. Everything else is fine.</w:t>
      </w:r>
    </w:p>
    <w:p>
      <w:pPr>
        <w:numPr>
          <w:numId w:val="1008"/>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r>
        <w:pict>
          <v:rect style="width:0;height:1.5pt" o:hralign="center" o:hrstd="t" o:hr="t"/>
        </w:pict>
      </w:r>
    </w:p>
    <w:p>
      <w:pPr>
        <w:pStyle w:val="Heading2"/>
      </w:pPr>
      <w:bookmarkStart w:id="45" w:name="studydifficulty"/>
      <w:bookmarkEnd w:id="45"/>
      <w:r>
        <w:t xml:space="preserve">StudyDifficulty</w:t>
      </w:r>
    </w:p>
    <w:p>
      <w:pPr>
        <w:pStyle w:val="FirstParagraph"/>
      </w:pPr>
      <w:r>
        <w:t xml:space="preserve">This indicates how difficult the MPM information was to extract from the paper.</w:t>
      </w:r>
      <w:r>
        <w:t xml:space="preserve"> </w:t>
      </w:r>
      <w:r>
        <w:t xml:space="preserve">It is recorded on a 3 point scale (values of 1, 2, 3), with 1 being easy to 3 being hard. How do we decide on difficulty?</w:t>
      </w:r>
    </w:p>
    <w:p>
      <w:pPr>
        <w:pStyle w:val="BodyText"/>
      </w:pPr>
      <w:r>
        <w:t xml:space="preserve">The points below give the characteristics of "easy", "medium" and "hard" studies to digitise. These are not exhaustive, but should allow you to roughly categorise the study you are working on to one of the three levels.</w:t>
      </w:r>
    </w:p>
    <w:p>
      <w:pPr>
        <w:pStyle w:val="Heading3"/>
      </w:pPr>
      <w:bookmarkStart w:id="46" w:name="easy"/>
      <w:bookmarkEnd w:id="46"/>
      <w:r>
        <w:t xml:space="preserve">1) EASY</w:t>
      </w:r>
    </w:p>
    <w:p>
      <w:pPr>
        <w:pStyle w:val="Compact"/>
        <w:numPr>
          <w:numId w:val="1009"/>
          <w:ilvl w:val="0"/>
        </w:numPr>
      </w:pPr>
      <w:r>
        <w:t xml:space="preserve">MPMs have a single vital rate per matrix element</w:t>
      </w:r>
    </w:p>
    <w:p>
      <w:pPr>
        <w:pStyle w:val="Compact"/>
        <w:numPr>
          <w:numId w:val="1009"/>
          <w:ilvl w:val="0"/>
        </w:numPr>
      </w:pPr>
      <w:r>
        <w:t xml:space="preserve">Not a "Frankenstein matrix"</w:t>
      </w:r>
    </w:p>
    <w:p>
      <w:pPr>
        <w:pStyle w:val="Compact"/>
        <w:numPr>
          <w:numId w:val="1009"/>
          <w:ilvl w:val="0"/>
        </w:numPr>
      </w:pPr>
      <w:r>
        <w:t xml:space="preserve">The MPMs freely available to digitize and it was 100% clear what population, year and/or treatment it was referring too.</w:t>
      </w:r>
    </w:p>
    <w:p>
      <w:pPr>
        <w:pStyle w:val="Compact"/>
        <w:numPr>
          <w:numId w:val="1009"/>
          <w:ilvl w:val="0"/>
        </w:numPr>
      </w:pPr>
      <w:r>
        <w:t xml:space="preserve">No clonality present.</w:t>
      </w:r>
    </w:p>
    <w:p>
      <w:pPr>
        <w:pStyle w:val="Compact"/>
        <w:numPr>
          <w:numId w:val="1009"/>
          <w:ilvl w:val="0"/>
        </w:numPr>
      </w:pPr>
      <w:r>
        <w:t xml:space="preserve">Easy and clearly described life cycle.</w:t>
      </w:r>
    </w:p>
    <w:p>
      <w:pPr>
        <w:pStyle w:val="Compact"/>
        <w:numPr>
          <w:numId w:val="1009"/>
          <w:ilvl w:val="0"/>
        </w:numPr>
      </w:pPr>
      <w:r>
        <w:t xml:space="preserve">Matrix information present in the paper in the form of a matrix/table.</w:t>
      </w:r>
    </w:p>
    <w:p>
      <w:pPr>
        <w:pStyle w:val="Compact"/>
        <w:numPr>
          <w:numId w:val="1009"/>
          <w:ilvl w:val="0"/>
        </w:numPr>
      </w:pPr>
      <w:r>
        <w:t xml:space="preserve">It was NOT necessary to contact the publication authors for clarification or more data.</w:t>
      </w:r>
    </w:p>
    <w:p>
      <w:pPr>
        <w:pStyle w:val="Heading3"/>
      </w:pPr>
      <w:bookmarkStart w:id="47" w:name="medium"/>
      <w:bookmarkEnd w:id="47"/>
      <w:r>
        <w:t xml:space="preserve">2) MEDIUM</w:t>
      </w:r>
    </w:p>
    <w:p>
      <w:pPr>
        <w:pStyle w:val="Compact"/>
        <w:numPr>
          <w:numId w:val="1010"/>
          <w:ilvl w:val="0"/>
        </w:numPr>
      </w:pPr>
      <w:r>
        <w:t xml:space="preserve">Multiple vital rates per matrix element but calculations of each element from vital rates is clearly described</w:t>
      </w:r>
    </w:p>
    <w:p>
      <w:pPr>
        <w:pStyle w:val="Compact"/>
        <w:numPr>
          <w:numId w:val="1010"/>
          <w:ilvl w:val="0"/>
        </w:numPr>
      </w:pPr>
      <w:r>
        <w:t xml:space="preserve">Frankenstein matrix from clearly distinguishable sources</w:t>
      </w:r>
    </w:p>
    <w:p>
      <w:pPr>
        <w:pStyle w:val="Compact"/>
        <w:numPr>
          <w:numId w:val="1010"/>
          <w:ilvl w:val="0"/>
        </w:numPr>
      </w:pPr>
      <w:r>
        <w:t xml:space="preserve">The matrix was freely available to digitize and it was 100% clear, but the population, year and/or treatment each matrix relates too was unclear but manageable from the literature</w:t>
      </w:r>
    </w:p>
    <w:p>
      <w:pPr>
        <w:pStyle w:val="Compact"/>
        <w:numPr>
          <w:numId w:val="1010"/>
          <w:ilvl w:val="0"/>
        </w:numPr>
      </w:pPr>
      <w:r>
        <w:t xml:space="preserve">Clonality was present and the clonal components were clearly described within the literature and the matrix could therefore be split accurately into component matrices (U, C, F)</w:t>
      </w:r>
    </w:p>
    <w:p>
      <w:pPr>
        <w:pStyle w:val="Compact"/>
        <w:numPr>
          <w:numId w:val="1010"/>
          <w:ilvl w:val="0"/>
        </w:numPr>
      </w:pPr>
      <w:r>
        <w:t xml:space="preserve">Complex life cycle but clear definition of life cycle provided</w:t>
      </w:r>
    </w:p>
    <w:p>
      <w:pPr>
        <w:pStyle w:val="Compact"/>
        <w:numPr>
          <w:numId w:val="1010"/>
          <w:ilvl w:val="0"/>
        </w:numPr>
      </w:pPr>
      <w:r>
        <w:t xml:space="preserve">Matrix not present in the paper and therefore matrix elements needed to be calculated from vital rates and life cycle diagrams</w:t>
      </w:r>
    </w:p>
    <w:p>
      <w:pPr>
        <w:pStyle w:val="Heading3"/>
      </w:pPr>
      <w:bookmarkStart w:id="48" w:name="hard"/>
      <w:bookmarkEnd w:id="48"/>
      <w:r>
        <w:t xml:space="preserve">3) HARD</w:t>
      </w:r>
    </w:p>
    <w:p>
      <w:pPr>
        <w:pStyle w:val="Compact"/>
        <w:numPr>
          <w:numId w:val="1011"/>
          <w:ilvl w:val="0"/>
        </w:numPr>
      </w:pPr>
      <w:r>
        <w:t xml:space="preserve">Multiple vital rates per matrix element but calculations of each element from vital rates is not described.</w:t>
      </w:r>
    </w:p>
    <w:p>
      <w:pPr>
        <w:pStyle w:val="Compact"/>
        <w:numPr>
          <w:numId w:val="1011"/>
          <w:ilvl w:val="0"/>
        </w:numPr>
      </w:pPr>
      <w:r>
        <w:t xml:space="preserve">Frankenstein matrix with undistinguishable sources.</w:t>
      </w:r>
    </w:p>
    <w:p>
      <w:pPr>
        <w:pStyle w:val="Compact"/>
        <w:numPr>
          <w:numId w:val="1011"/>
          <w:ilvl w:val="0"/>
        </w:numPr>
      </w:pPr>
      <w:r>
        <w:t xml:space="preserve">The matrix was freely available to digitize and it was 100% clear, but the population, year and/or treatment each matrix relates too was undeterminable.</w:t>
      </w:r>
    </w:p>
    <w:p>
      <w:pPr>
        <w:pStyle w:val="Compact"/>
        <w:numPr>
          <w:numId w:val="1011"/>
          <w:ilvl w:val="0"/>
        </w:numPr>
      </w:pPr>
      <w:r>
        <w:t xml:space="preserve">Clonality was present within the matrix but the clonal components were not clearly described within the literature and therefore the matrix could not be split into component matrices (U, C, F).</w:t>
      </w:r>
    </w:p>
    <w:p>
      <w:pPr>
        <w:pStyle w:val="Compact"/>
        <w:numPr>
          <w:numId w:val="1011"/>
          <w:ilvl w:val="0"/>
        </w:numPr>
      </w:pPr>
      <w:r>
        <w:t xml:space="preserve">No information on life cycle available / poor description of life cycle.</w:t>
      </w:r>
    </w:p>
    <w:p>
      <w:pPr>
        <w:pStyle w:val="Compact"/>
        <w:numPr>
          <w:numId w:val="1011"/>
          <w:ilvl w:val="0"/>
        </w:numPr>
      </w:pPr>
      <w:r>
        <w:t xml:space="preserve">Matrix elements had to be calculated from tables.</w:t>
      </w:r>
    </w:p>
    <w:p>
      <w:pPr>
        <w:pStyle w:val="Compact"/>
        <w:numPr>
          <w:numId w:val="1011"/>
          <w:ilvl w:val="0"/>
        </w:numPr>
      </w:pPr>
      <w:r>
        <w:t xml:space="preserve">Vital rates were modeled as a function of other factors, for example, density dependence, weather.</w:t>
      </w:r>
    </w:p>
    <w:p>
      <w:pPr>
        <w:pStyle w:val="Compact"/>
        <w:numPr>
          <w:numId w:val="1011"/>
          <w:ilvl w:val="0"/>
        </w:numPr>
      </w:pPr>
      <w:r>
        <w:t xml:space="preserve">It was necessary to contact the publication authors for clarification or more data.</w:t>
      </w:r>
    </w:p>
    <w:p>
      <w:r>
        <w:pict>
          <v:rect style="width:0;height:1.5pt" o:hralign="center" o:hrstd="t" o:hr="t"/>
        </w:pict>
      </w:r>
    </w:p>
    <w:p>
      <w:pPr>
        <w:pStyle w:val="Heading2"/>
      </w:pPr>
      <w:bookmarkStart w:id="49" w:name="organismtype"/>
      <w:bookmarkEnd w:id="49"/>
      <w:r>
        <w:t xml:space="preserve">OrganismType</w:t>
      </w:r>
    </w:p>
    <w:p>
      <w:pPr>
        <w:pStyle w:val="Heading3"/>
      </w:pPr>
      <w:bookmarkStart w:id="50" w:name="plants-compadre"/>
      <w:bookmarkEnd w:id="50"/>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12"/>
          <w:ilvl w:val="0"/>
        </w:numPr>
      </w:pPr>
      <w:r>
        <w:t xml:space="preserve">Algae</w:t>
      </w:r>
    </w:p>
    <w:p>
      <w:pPr>
        <w:pStyle w:val="Compact"/>
        <w:numPr>
          <w:numId w:val="1012"/>
          <w:ilvl w:val="0"/>
        </w:numPr>
      </w:pPr>
      <w:r>
        <w:t xml:space="preserve">Annual</w:t>
      </w:r>
    </w:p>
    <w:p>
      <w:pPr>
        <w:pStyle w:val="Compact"/>
        <w:numPr>
          <w:numId w:val="1012"/>
          <w:ilvl w:val="0"/>
        </w:numPr>
      </w:pPr>
      <w:r>
        <w:t xml:space="preserve">Bryophyte</w:t>
      </w:r>
    </w:p>
    <w:p>
      <w:pPr>
        <w:pStyle w:val="Compact"/>
        <w:numPr>
          <w:numId w:val="1012"/>
          <w:ilvl w:val="0"/>
        </w:numPr>
      </w:pPr>
      <w:r>
        <w:t xml:space="preserve">Epiphyte</w:t>
      </w:r>
    </w:p>
    <w:p>
      <w:pPr>
        <w:pStyle w:val="Compact"/>
        <w:numPr>
          <w:numId w:val="1012"/>
          <w:ilvl w:val="0"/>
        </w:numPr>
      </w:pPr>
      <w:r>
        <w:t xml:space="preserve">Fern</w:t>
      </w:r>
    </w:p>
    <w:p>
      <w:pPr>
        <w:pStyle w:val="Compact"/>
        <w:numPr>
          <w:numId w:val="1012"/>
          <w:ilvl w:val="0"/>
        </w:numPr>
      </w:pPr>
      <w:r>
        <w:t xml:space="preserve">Herbaceous perennial</w:t>
      </w:r>
    </w:p>
    <w:p>
      <w:pPr>
        <w:pStyle w:val="Compact"/>
        <w:numPr>
          <w:numId w:val="1012"/>
          <w:ilvl w:val="0"/>
        </w:numPr>
      </w:pPr>
      <w:r>
        <w:t xml:space="preserve">Liana</w:t>
      </w:r>
    </w:p>
    <w:p>
      <w:pPr>
        <w:pStyle w:val="Compact"/>
        <w:numPr>
          <w:numId w:val="1012"/>
          <w:ilvl w:val="0"/>
        </w:numPr>
      </w:pPr>
      <w:r>
        <w:t xml:space="preserve">Palm</w:t>
      </w:r>
    </w:p>
    <w:p>
      <w:pPr>
        <w:pStyle w:val="Compact"/>
        <w:numPr>
          <w:numId w:val="1012"/>
          <w:ilvl w:val="0"/>
        </w:numPr>
      </w:pPr>
      <w:r>
        <w:t xml:space="preserve">Shrub</w:t>
      </w:r>
    </w:p>
    <w:p>
      <w:pPr>
        <w:pStyle w:val="Compact"/>
        <w:numPr>
          <w:numId w:val="1012"/>
          <w:ilvl w:val="0"/>
        </w:numPr>
      </w:pPr>
      <w:r>
        <w:t xml:space="preserve">Succulent</w:t>
      </w:r>
    </w:p>
    <w:p>
      <w:pPr>
        <w:pStyle w:val="Compact"/>
        <w:numPr>
          <w:numId w:val="1012"/>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51" w:name="animals-comadre"/>
      <w:bookmarkEnd w:id="51"/>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13"/>
          <w:ilvl w:val="0"/>
        </w:numPr>
      </w:pPr>
      <w:r>
        <w:t xml:space="preserve">Actinopterygii</w:t>
      </w:r>
    </w:p>
    <w:p>
      <w:pPr>
        <w:pStyle w:val="Compact"/>
        <w:numPr>
          <w:numId w:val="1013"/>
          <w:ilvl w:val="0"/>
        </w:numPr>
      </w:pPr>
      <w:r>
        <w:t xml:space="preserve">Amphibia</w:t>
      </w:r>
    </w:p>
    <w:p>
      <w:pPr>
        <w:pStyle w:val="Compact"/>
        <w:numPr>
          <w:numId w:val="1013"/>
          <w:ilvl w:val="0"/>
        </w:numPr>
      </w:pPr>
      <w:r>
        <w:t xml:space="preserve">Anthozoa</w:t>
      </w:r>
    </w:p>
    <w:p>
      <w:pPr>
        <w:pStyle w:val="Compact"/>
        <w:numPr>
          <w:numId w:val="1013"/>
          <w:ilvl w:val="0"/>
        </w:numPr>
      </w:pPr>
      <w:r>
        <w:t xml:space="preserve">Arachnida</w:t>
      </w:r>
    </w:p>
    <w:p>
      <w:pPr>
        <w:pStyle w:val="Compact"/>
        <w:numPr>
          <w:numId w:val="1013"/>
          <w:ilvl w:val="0"/>
        </w:numPr>
      </w:pPr>
      <w:r>
        <w:t xml:space="preserve">Ascidiacea</w:t>
      </w:r>
    </w:p>
    <w:p>
      <w:pPr>
        <w:pStyle w:val="Compact"/>
        <w:numPr>
          <w:numId w:val="1013"/>
          <w:ilvl w:val="0"/>
        </w:numPr>
      </w:pPr>
      <w:r>
        <w:t xml:space="preserve">Aves</w:t>
      </w:r>
    </w:p>
    <w:p>
      <w:pPr>
        <w:pStyle w:val="Compact"/>
        <w:numPr>
          <w:numId w:val="1013"/>
          <w:ilvl w:val="0"/>
        </w:numPr>
      </w:pPr>
      <w:r>
        <w:t xml:space="preserve">Bivalvia</w:t>
      </w:r>
    </w:p>
    <w:p>
      <w:pPr>
        <w:pStyle w:val="Compact"/>
        <w:numPr>
          <w:numId w:val="1013"/>
          <w:ilvl w:val="0"/>
        </w:numPr>
      </w:pPr>
      <w:r>
        <w:t xml:space="preserve">Branchiopoda</w:t>
      </w:r>
    </w:p>
    <w:p>
      <w:pPr>
        <w:pStyle w:val="Compact"/>
        <w:numPr>
          <w:numId w:val="1013"/>
          <w:ilvl w:val="0"/>
        </w:numPr>
      </w:pPr>
      <w:r>
        <w:t xml:space="preserve">Cephalaspidomorphi</w:t>
      </w:r>
    </w:p>
    <w:p>
      <w:pPr>
        <w:pStyle w:val="Compact"/>
        <w:numPr>
          <w:numId w:val="1013"/>
          <w:ilvl w:val="0"/>
        </w:numPr>
      </w:pPr>
      <w:r>
        <w:t xml:space="preserve">Chondrichthyes</w:t>
      </w:r>
    </w:p>
    <w:p>
      <w:pPr>
        <w:pStyle w:val="Compact"/>
        <w:numPr>
          <w:numId w:val="1013"/>
          <w:ilvl w:val="0"/>
        </w:numPr>
      </w:pPr>
      <w:r>
        <w:t xml:space="preserve">Chromadorea</w:t>
      </w:r>
    </w:p>
    <w:p>
      <w:pPr>
        <w:pStyle w:val="Compact"/>
        <w:numPr>
          <w:numId w:val="1013"/>
          <w:ilvl w:val="0"/>
        </w:numPr>
      </w:pPr>
      <w:r>
        <w:t xml:space="preserve">Clitellata</w:t>
      </w:r>
    </w:p>
    <w:p>
      <w:pPr>
        <w:pStyle w:val="Compact"/>
        <w:numPr>
          <w:numId w:val="1013"/>
          <w:ilvl w:val="0"/>
        </w:numPr>
      </w:pPr>
      <w:r>
        <w:t xml:space="preserve">Demospongiae</w:t>
      </w:r>
    </w:p>
    <w:p>
      <w:pPr>
        <w:pStyle w:val="Compact"/>
        <w:numPr>
          <w:numId w:val="1013"/>
          <w:ilvl w:val="0"/>
        </w:numPr>
      </w:pPr>
      <w:r>
        <w:t xml:space="preserve">Diplopoda</w:t>
      </w:r>
    </w:p>
    <w:p>
      <w:pPr>
        <w:pStyle w:val="Compact"/>
        <w:numPr>
          <w:numId w:val="1013"/>
          <w:ilvl w:val="0"/>
        </w:numPr>
      </w:pPr>
      <w:r>
        <w:t xml:space="preserve">Echinoidea</w:t>
      </w:r>
    </w:p>
    <w:p>
      <w:pPr>
        <w:pStyle w:val="Compact"/>
        <w:numPr>
          <w:numId w:val="1013"/>
          <w:ilvl w:val="0"/>
        </w:numPr>
      </w:pPr>
      <w:r>
        <w:t xml:space="preserve">Eurotatoria</w:t>
      </w:r>
    </w:p>
    <w:p>
      <w:pPr>
        <w:pStyle w:val="Compact"/>
        <w:numPr>
          <w:numId w:val="1013"/>
          <w:ilvl w:val="0"/>
        </w:numPr>
      </w:pPr>
      <w:r>
        <w:t xml:space="preserve">Gastropoda</w:t>
      </w:r>
    </w:p>
    <w:p>
      <w:pPr>
        <w:pStyle w:val="Compact"/>
        <w:numPr>
          <w:numId w:val="1013"/>
          <w:ilvl w:val="0"/>
        </w:numPr>
      </w:pPr>
      <w:r>
        <w:t xml:space="preserve">Gymnolaemata</w:t>
      </w:r>
    </w:p>
    <w:p>
      <w:pPr>
        <w:pStyle w:val="Compact"/>
        <w:numPr>
          <w:numId w:val="1013"/>
          <w:ilvl w:val="0"/>
        </w:numPr>
      </w:pPr>
      <w:r>
        <w:t xml:space="preserve">Malacostraca</w:t>
      </w:r>
    </w:p>
    <w:p>
      <w:pPr>
        <w:pStyle w:val="Compact"/>
        <w:numPr>
          <w:numId w:val="1013"/>
          <w:ilvl w:val="0"/>
        </w:numPr>
      </w:pPr>
      <w:r>
        <w:t xml:space="preserve">Mammalia</w:t>
      </w:r>
    </w:p>
    <w:p>
      <w:pPr>
        <w:pStyle w:val="Compact"/>
        <w:numPr>
          <w:numId w:val="1013"/>
          <w:ilvl w:val="0"/>
        </w:numPr>
      </w:pPr>
      <w:r>
        <w:t xml:space="preserve">Maxillopoda</w:t>
      </w:r>
    </w:p>
    <w:p>
      <w:pPr>
        <w:pStyle w:val="Compact"/>
        <w:numPr>
          <w:numId w:val="1013"/>
          <w:ilvl w:val="0"/>
        </w:numPr>
      </w:pPr>
      <w:r>
        <w:t xml:space="preserve">Merostomata</w:t>
      </w:r>
    </w:p>
    <w:p>
      <w:pPr>
        <w:pStyle w:val="Compact"/>
        <w:numPr>
          <w:numId w:val="1013"/>
          <w:ilvl w:val="0"/>
        </w:numPr>
      </w:pPr>
      <w:r>
        <w:t xml:space="preserve">Onychophorida</w:t>
      </w:r>
    </w:p>
    <w:p>
      <w:pPr>
        <w:pStyle w:val="Compact"/>
        <w:numPr>
          <w:numId w:val="1013"/>
          <w:ilvl w:val="0"/>
        </w:numPr>
      </w:pPr>
      <w:r>
        <w:t xml:space="preserve">Ostracoda</w:t>
      </w:r>
    </w:p>
    <w:p>
      <w:pPr>
        <w:pStyle w:val="Compact"/>
        <w:numPr>
          <w:numId w:val="1013"/>
          <w:ilvl w:val="0"/>
        </w:numPr>
      </w:pPr>
      <w:r>
        <w:t xml:space="preserve">Polychaeta</w:t>
      </w:r>
    </w:p>
    <w:p>
      <w:pPr>
        <w:pStyle w:val="Compact"/>
        <w:numPr>
          <w:numId w:val="1013"/>
          <w:ilvl w:val="0"/>
        </w:numPr>
      </w:pPr>
      <w:r>
        <w:t xml:space="preserve">Reptilia</w:t>
      </w:r>
    </w:p>
    <w:p>
      <w:pPr>
        <w:pStyle w:val="Compact"/>
        <w:numPr>
          <w:numId w:val="1013"/>
          <w:ilvl w:val="0"/>
        </w:numPr>
      </w:pPr>
      <w:r>
        <w:t xml:space="preserve">Secernentea</w:t>
      </w:r>
    </w:p>
    <w:p>
      <w:pPr>
        <w:pStyle w:val="Compact"/>
        <w:numPr>
          <w:numId w:val="1013"/>
          <w:ilvl w:val="0"/>
        </w:numPr>
      </w:pPr>
      <w:r>
        <w:t xml:space="preserve">Spirochaetes</w:t>
      </w:r>
    </w:p>
    <w:p>
      <w:pPr>
        <w:pStyle w:val="Compact"/>
        <w:numPr>
          <w:numId w:val="1013"/>
          <w:ilvl w:val="0"/>
        </w:numPr>
      </w:pPr>
      <w:r>
        <w:t xml:space="preserve">Homo_sapiens</w:t>
      </w:r>
    </w:p>
    <w:p>
      <w:r>
        <w:pict>
          <v:rect style="width:0;height:1.5pt" o:hralign="center" o:hrstd="t" o:hr="t"/>
        </w:pict>
      </w:r>
    </w:p>
    <w:p>
      <w:pPr>
        <w:pStyle w:val="Heading2"/>
      </w:pPr>
      <w:bookmarkStart w:id="52" w:name="speciesauthor"/>
      <w:bookmarkEnd w:id="52"/>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53" w:name="commonname"/>
      <w:bookmarkEnd w:id="53"/>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54" w:name="taxonomy-columns"/>
      <w:bookmarkEnd w:id="54"/>
      <w:r>
        <w:t xml:space="preserve">Taxonomy columns</w:t>
      </w:r>
    </w:p>
    <w:p>
      <w:pPr>
        <w:pStyle w:val="FirstParagraph"/>
      </w:pPr>
      <w:r>
        <w:t xml:space="preserve">This series of columns includes taxonomic information.</w:t>
      </w:r>
      <w:r>
        <w:t xml:space="preserve"> </w:t>
      </w:r>
      <w:r>
        <w:t xml:space="preserve">Please obtain (and check) this information using The Plant List (</w:t>
      </w:r>
      <w:hyperlink r:id="rId55">
        <w:r>
          <w:rPr>
            <w:rStyle w:val="Hyperlink"/>
          </w:rPr>
          <w:t xml:space="preserve">http://www.theplantlist.org</w:t>
        </w:r>
      </w:hyperlink>
      <w:r>
        <w:t xml:space="preserve">) for plants and the Catalogue of Life (</w:t>
      </w:r>
      <w:hyperlink r:id="rId56">
        <w:r>
          <w:rPr>
            <w:rStyle w:val="Hyperlink"/>
          </w:rPr>
          <w:t xml:space="preserve">http://www.catalogueoflife.org/col/</w:t>
        </w:r>
      </w:hyperlink>
      <w:r>
        <w:t xml:space="preserve">) for animals. For algae, you can use</w:t>
      </w:r>
      <w:r>
        <w:t xml:space="preserve"> </w:t>
      </w:r>
      <w:hyperlink r:id="rId57">
        <w:r>
          <w:rPr>
            <w:rStyle w:val="Hyperlink"/>
          </w:rPr>
          <w:t xml:space="preserve">http://www.algaebase.org</w:t>
        </w:r>
      </w:hyperlink>
      <w:r>
        <w:t xml:space="preserve">.</w:t>
      </w:r>
    </w:p>
    <w:p>
      <w:pPr>
        <w:pStyle w:val="Compact"/>
        <w:numPr>
          <w:numId w:val="1014"/>
          <w:ilvl w:val="0"/>
        </w:numPr>
      </w:pPr>
      <w:r>
        <w:t xml:space="preserve">Kingdom - Kingdom to which species belongs.</w:t>
      </w:r>
    </w:p>
    <w:p>
      <w:pPr>
        <w:pStyle w:val="Compact"/>
        <w:numPr>
          <w:numId w:val="1014"/>
          <w:ilvl w:val="0"/>
        </w:numPr>
      </w:pPr>
      <w:r>
        <w:t xml:space="preserve">Phylum - Phylum to which species belongs e.g. Magnoliophyta.</w:t>
      </w:r>
    </w:p>
    <w:p>
      <w:pPr>
        <w:pStyle w:val="Compact"/>
        <w:numPr>
          <w:numId w:val="1014"/>
          <w:ilvl w:val="0"/>
        </w:numPr>
      </w:pPr>
      <w:r>
        <w:t xml:space="preserve">Class - Class to which species belongs e.g. Magnoliopsida.</w:t>
      </w:r>
    </w:p>
    <w:p>
      <w:pPr>
        <w:pStyle w:val="Compact"/>
        <w:numPr>
          <w:numId w:val="1014"/>
          <w:ilvl w:val="0"/>
        </w:numPr>
      </w:pPr>
      <w:r>
        <w:t xml:space="preserve">Family - Family to which species belongs e.g. Polygonaceae.</w:t>
      </w:r>
    </w:p>
    <w:p>
      <w:pPr>
        <w:pStyle w:val="Compact"/>
        <w:numPr>
          <w:numId w:val="1014"/>
          <w:ilvl w:val="0"/>
        </w:numPr>
      </w:pPr>
      <w:r>
        <w:t xml:space="preserve">Order - Order to which species belongs e.g. Caryophyllales.</w:t>
      </w:r>
    </w:p>
    <w:p>
      <w:pPr>
        <w:pStyle w:val="Compact"/>
        <w:numPr>
          <w:numId w:val="1014"/>
          <w:ilvl w:val="0"/>
        </w:numPr>
      </w:pPr>
      <w:r>
        <w:t xml:space="preserve">Genus - Genus used in SpeciesAuthor e.g. Chorizanthe.</w:t>
      </w:r>
    </w:p>
    <w:p>
      <w:pPr>
        <w:pStyle w:val="Compact"/>
        <w:numPr>
          <w:numId w:val="1014"/>
          <w:ilvl w:val="0"/>
        </w:numPr>
      </w:pPr>
      <w:r>
        <w:t xml:space="preserve">SpeciesAccepted - Currently accepted Latin name.</w:t>
      </w:r>
    </w:p>
    <w:p>
      <w:pPr>
        <w:pStyle w:val="Compact"/>
        <w:numPr>
          <w:numId w:val="1014"/>
          <w:ilvl w:val="0"/>
        </w:numPr>
      </w:pPr>
      <w:r>
        <w:t xml:space="preserve">DateOfCheck - the date when the taxonomy was checked.</w:t>
      </w:r>
    </w:p>
    <w:p>
      <w:pPr>
        <w:pStyle w:val="Compact"/>
        <w:numPr>
          <w:numId w:val="1014"/>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4"/>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Taxonomy"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8"/>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59" w:name="authors"/>
      <w:bookmarkEnd w:id="59"/>
      <w:r>
        <w:t xml:space="preserve">Authors</w:t>
      </w:r>
    </w:p>
    <w:p>
      <w:pPr>
        <w:pStyle w:val="FirstParagraph"/>
      </w:pPr>
      <w:r>
        <w:t xml:space="preserve">Last name of all authors on the publication. Separate multiple names with "; ".</w:t>
      </w:r>
      <w:r>
        <w:t xml:space="preserve"> </w:t>
      </w:r>
      <w:r>
        <w:t xml:space="preserve">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60" w:name="journal"/>
      <w:bookmarkEnd w:id="60"/>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61">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5"/>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5"/>
          <w:ilvl w:val="0"/>
        </w:numPr>
      </w:pPr>
      <w:r>
        <w:t xml:space="preserve">Book - Matrices are from a book, or book chapter. Note: If our source is a book name the author of the related chapter in Authors, not the author of the book.</w:t>
      </w:r>
    </w:p>
    <w:p>
      <w:pPr>
        <w:pStyle w:val="Compact"/>
        <w:numPr>
          <w:numId w:val="1015"/>
          <w:ilvl w:val="0"/>
        </w:numPr>
      </w:pPr>
      <w:r>
        <w:t xml:space="preserve">PhD thesis - Matrices are from a doctoral thesis.</w:t>
      </w:r>
    </w:p>
    <w:p>
      <w:pPr>
        <w:pStyle w:val="Compact"/>
        <w:numPr>
          <w:numId w:val="1015"/>
          <w:ilvl w:val="0"/>
        </w:numPr>
      </w:pPr>
      <w:r>
        <w:t xml:space="preserve">MSc thesis - Matrices are from a masters thesis.</w:t>
      </w:r>
    </w:p>
    <w:p>
      <w:pPr>
        <w:pStyle w:val="Compact"/>
        <w:numPr>
          <w:numId w:val="1015"/>
          <w:ilvl w:val="0"/>
        </w:numPr>
      </w:pPr>
      <w:r>
        <w:t xml:space="preserve">Report - Matrices are from a report.</w:t>
      </w:r>
    </w:p>
    <w:p>
      <w:pPr>
        <w:pStyle w:val="Compact"/>
        <w:numPr>
          <w:numId w:val="1015"/>
          <w:ilvl w:val="0"/>
        </w:numPr>
      </w:pPr>
      <w:r>
        <w:t xml:space="preserve">Conference talk - Matrices reported in a conference talk.</w:t>
      </w:r>
    </w:p>
    <w:p>
      <w:pPr>
        <w:pStyle w:val="Compact"/>
        <w:numPr>
          <w:numId w:val="1015"/>
          <w:ilvl w:val="0"/>
        </w:numPr>
      </w:pPr>
      <w:r>
        <w:t xml:space="preserve">Conference poster - Matrices reported in a conference poster.</w:t>
      </w:r>
    </w:p>
    <w:p>
      <w:r>
        <w:pict>
          <v:rect style="width:0;height:1.5pt" o:hralign="center" o:hrstd="t" o:hr="t"/>
        </w:pict>
      </w:r>
    </w:p>
    <w:p>
      <w:pPr>
        <w:pStyle w:val="Heading2"/>
      </w:pPr>
      <w:bookmarkStart w:id="62" w:name="yearpublication"/>
      <w:bookmarkEnd w:id="62"/>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63" w:name="correspondingauthor"/>
      <w:bookmarkEnd w:id="63"/>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64" w:name="email"/>
      <w:bookmarkEnd w:id="64"/>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65" w:name="contacted"/>
      <w:bookmarkEnd w:id="65"/>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6"/>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6"/>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66" w:name="contentemail"/>
      <w:bookmarkEnd w:id="66"/>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7" w:name="reply"/>
      <w:bookmarkEnd w:id="67"/>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8" w:name="doi.isbn"/>
      <w:bookmarkEnd w:id="68"/>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9">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70">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71" w:name="additionalsource"/>
      <w:bookmarkEnd w:id="71"/>
      <w:r>
        <w:t xml:space="preserve">AdditionalSource</w:t>
      </w:r>
    </w:p>
    <w:p>
      <w:pPr>
        <w:pStyle w:val="FirstParagraph"/>
      </w:pPr>
      <w:r>
        <w:t xml:space="preserve">Record additional source(s) used to reconstruct the matrix, or to obtain additional ancillary data.</w:t>
      </w:r>
      <w:r>
        <w:t xml:space="preserve"> </w:t>
      </w:r>
      <w:r>
        <w:t xml:space="preserve">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72" w:name="database"/>
      <w:bookmarkEnd w:id="72"/>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7"/>
          <w:ilvl w:val="0"/>
        </w:numPr>
      </w:pPr>
      <w:r>
        <w:t xml:space="preserve">Exeter - David Hodgson</w:t>
      </w:r>
    </w:p>
    <w:p>
      <w:pPr>
        <w:pStyle w:val="Compact"/>
        <w:numPr>
          <w:numId w:val="1017"/>
          <w:ilvl w:val="0"/>
        </w:numPr>
      </w:pPr>
      <w:r>
        <w:t xml:space="preserve">COMPADRE I - Miguel Franco &amp; Jonathan Silvertown</w:t>
      </w:r>
    </w:p>
    <w:p>
      <w:pPr>
        <w:pStyle w:val="Compact"/>
        <w:numPr>
          <w:numId w:val="1017"/>
          <w:ilvl w:val="0"/>
        </w:numPr>
      </w:pPr>
      <w:r>
        <w:t xml:space="preserve">Ramula - Satu Ramula</w:t>
      </w:r>
    </w:p>
    <w:p>
      <w:pPr>
        <w:pStyle w:val="Compact"/>
        <w:numPr>
          <w:numId w:val="1017"/>
          <w:ilvl w:val="0"/>
        </w:numPr>
      </w:pPr>
      <w:r>
        <w:t xml:space="preserve">NCEAS - Jennifer Williams et al.</w:t>
      </w:r>
    </w:p>
    <w:p>
      <w:pPr>
        <w:pStyle w:val="Compact"/>
        <w:numPr>
          <w:numId w:val="1017"/>
          <w:ilvl w:val="0"/>
        </w:numPr>
      </w:pPr>
      <w:r>
        <w:t xml:space="preserve">UQ - Yvonne Buckley and collaborators</w:t>
      </w:r>
    </w:p>
    <w:p>
      <w:r>
        <w:pict>
          <v:rect style="width:0;height:1.5pt" o:hralign="center" o:hrstd="t" o:hr="t"/>
        </w:pict>
      </w:r>
    </w:p>
    <w:p>
      <w:pPr>
        <w:pStyle w:val="Heading2"/>
      </w:pPr>
      <w:bookmarkStart w:id="73" w:name="iucnstatus-invasivestatus-conservationstatusus"/>
      <w:bookmarkEnd w:id="73"/>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74" w:name="ecoregion"/>
      <w:bookmarkEnd w:id="74"/>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8"/>
          <w:ilvl w:val="0"/>
        </w:numPr>
      </w:pPr>
      <w:r>
        <w:t xml:space="preserve">TMB tropical and subtropical moist broadleaf forests</w:t>
      </w:r>
    </w:p>
    <w:p>
      <w:pPr>
        <w:pStyle w:val="Compact"/>
        <w:numPr>
          <w:numId w:val="1018"/>
          <w:ilvl w:val="0"/>
        </w:numPr>
      </w:pPr>
      <w:r>
        <w:t xml:space="preserve">TDB tropical and subtropical dry broadleaf forests</w:t>
      </w:r>
    </w:p>
    <w:p>
      <w:pPr>
        <w:pStyle w:val="Compact"/>
        <w:numPr>
          <w:numId w:val="1018"/>
          <w:ilvl w:val="0"/>
        </w:numPr>
      </w:pPr>
      <w:r>
        <w:t xml:space="preserve">TSC tropical and subtropical coniferous forests</w:t>
      </w:r>
    </w:p>
    <w:p>
      <w:pPr>
        <w:pStyle w:val="Compact"/>
        <w:numPr>
          <w:numId w:val="1018"/>
          <w:ilvl w:val="0"/>
        </w:numPr>
      </w:pPr>
      <w:r>
        <w:t xml:space="preserve">TBM temperate broadleaf and mixed forests</w:t>
      </w:r>
    </w:p>
    <w:p>
      <w:pPr>
        <w:pStyle w:val="Compact"/>
        <w:numPr>
          <w:numId w:val="1018"/>
          <w:ilvl w:val="0"/>
        </w:numPr>
      </w:pPr>
      <w:r>
        <w:t xml:space="preserve">TCF temperate coniferous forests</w:t>
      </w:r>
    </w:p>
    <w:p>
      <w:pPr>
        <w:pStyle w:val="Compact"/>
        <w:numPr>
          <w:numId w:val="1018"/>
          <w:ilvl w:val="0"/>
        </w:numPr>
      </w:pPr>
      <w:r>
        <w:t xml:space="preserve">BOR boreal forests/ taiga</w:t>
      </w:r>
    </w:p>
    <w:p>
      <w:pPr>
        <w:pStyle w:val="Compact"/>
        <w:numPr>
          <w:numId w:val="1018"/>
          <w:ilvl w:val="0"/>
        </w:numPr>
      </w:pPr>
      <w:r>
        <w:t xml:space="preserve">TGV tropical and subtropical grasslands, savannas and shrublands</w:t>
      </w:r>
    </w:p>
    <w:p>
      <w:pPr>
        <w:pStyle w:val="Compact"/>
        <w:numPr>
          <w:numId w:val="1018"/>
          <w:ilvl w:val="0"/>
        </w:numPr>
      </w:pPr>
      <w:r>
        <w:t xml:space="preserve">TGS temperate grasslands, savannas, and shrublands</w:t>
      </w:r>
    </w:p>
    <w:p>
      <w:pPr>
        <w:pStyle w:val="Compact"/>
        <w:numPr>
          <w:numId w:val="1018"/>
          <w:ilvl w:val="0"/>
        </w:numPr>
      </w:pPr>
      <w:r>
        <w:t xml:space="preserve">FGS flooded grasslands and savannas</w:t>
      </w:r>
    </w:p>
    <w:p>
      <w:pPr>
        <w:pStyle w:val="Compact"/>
        <w:numPr>
          <w:numId w:val="1018"/>
          <w:ilvl w:val="0"/>
        </w:numPr>
      </w:pPr>
      <w:r>
        <w:t xml:space="preserve">MON montane grasslands and shrublands</w:t>
      </w:r>
    </w:p>
    <w:p>
      <w:pPr>
        <w:pStyle w:val="Compact"/>
        <w:numPr>
          <w:numId w:val="1018"/>
          <w:ilvl w:val="0"/>
        </w:numPr>
      </w:pPr>
      <w:r>
        <w:t xml:space="preserve">TUN tundra</w:t>
      </w:r>
    </w:p>
    <w:p>
      <w:pPr>
        <w:pStyle w:val="Compact"/>
        <w:numPr>
          <w:numId w:val="1018"/>
          <w:ilvl w:val="0"/>
        </w:numPr>
      </w:pPr>
      <w:r>
        <w:t xml:space="preserve">MED Mediterranean forests, woodlands and scrubs</w:t>
      </w:r>
    </w:p>
    <w:p>
      <w:pPr>
        <w:pStyle w:val="Compact"/>
        <w:numPr>
          <w:numId w:val="1018"/>
          <w:ilvl w:val="0"/>
        </w:numPr>
      </w:pPr>
      <w:r>
        <w:t xml:space="preserve">DES deserts and xeric shrublands</w:t>
      </w:r>
    </w:p>
    <w:p>
      <w:pPr>
        <w:pStyle w:val="Compact"/>
        <w:numPr>
          <w:numId w:val="1018"/>
          <w:ilvl w:val="0"/>
        </w:numPr>
      </w:pPr>
      <w:r>
        <w:t xml:space="preserve">MAN mangroves</w:t>
      </w:r>
    </w:p>
    <w:p>
      <w:pPr>
        <w:pStyle w:val="FirstParagraph"/>
      </w:pPr>
      <w:r>
        <w:rPr>
          <w:b/>
        </w:rPr>
        <w:t xml:space="preserve">Freshwater ecoregions</w:t>
      </w:r>
    </w:p>
    <w:p>
      <w:pPr>
        <w:pStyle w:val="Compact"/>
        <w:numPr>
          <w:numId w:val="1019"/>
          <w:ilvl w:val="0"/>
        </w:numPr>
      </w:pPr>
      <w:r>
        <w:t xml:space="preserve">LRE large river ecosystems</w:t>
      </w:r>
    </w:p>
    <w:p>
      <w:pPr>
        <w:pStyle w:val="Compact"/>
        <w:numPr>
          <w:numId w:val="1019"/>
          <w:ilvl w:val="0"/>
        </w:numPr>
      </w:pPr>
      <w:r>
        <w:t xml:space="preserve">LRH large river headwater ecosystems</w:t>
      </w:r>
    </w:p>
    <w:p>
      <w:pPr>
        <w:pStyle w:val="Compact"/>
        <w:numPr>
          <w:numId w:val="1019"/>
          <w:ilvl w:val="0"/>
        </w:numPr>
      </w:pPr>
      <w:r>
        <w:t xml:space="preserve">LRD large river delta ecosystems</w:t>
      </w:r>
    </w:p>
    <w:p>
      <w:pPr>
        <w:pStyle w:val="Compact"/>
        <w:numPr>
          <w:numId w:val="1019"/>
          <w:ilvl w:val="0"/>
        </w:numPr>
      </w:pPr>
      <w:r>
        <w:t xml:space="preserve">SRE small river ecosystems</w:t>
      </w:r>
    </w:p>
    <w:p>
      <w:pPr>
        <w:pStyle w:val="Compact"/>
        <w:numPr>
          <w:numId w:val="1019"/>
          <w:ilvl w:val="0"/>
        </w:numPr>
      </w:pPr>
      <w:r>
        <w:t xml:space="preserve">SLE small lake ecosystems</w:t>
      </w:r>
    </w:p>
    <w:p>
      <w:pPr>
        <w:pStyle w:val="Compact"/>
        <w:numPr>
          <w:numId w:val="1019"/>
          <w:ilvl w:val="0"/>
        </w:numPr>
      </w:pPr>
      <w:r>
        <w:t xml:space="preserve">LLE large lake ecosystems</w:t>
      </w:r>
    </w:p>
    <w:p>
      <w:pPr>
        <w:pStyle w:val="Compact"/>
        <w:numPr>
          <w:numId w:val="1019"/>
          <w:ilvl w:val="0"/>
        </w:numPr>
      </w:pPr>
      <w:r>
        <w:t xml:space="preserve">XBE xeric basin ecosystems</w:t>
      </w:r>
    </w:p>
    <w:p>
      <w:pPr>
        <w:pStyle w:val="FirstParagraph"/>
      </w:pPr>
      <w:r>
        <w:rPr>
          <w:b/>
        </w:rPr>
        <w:t xml:space="preserve">Marine ecoregions</w:t>
      </w:r>
    </w:p>
    <w:p>
      <w:pPr>
        <w:pStyle w:val="Compact"/>
        <w:numPr>
          <w:numId w:val="1020"/>
          <w:ilvl w:val="0"/>
        </w:numPr>
      </w:pPr>
      <w:r>
        <w:t xml:space="preserve">POE polar ecosystems</w:t>
      </w:r>
    </w:p>
    <w:p>
      <w:pPr>
        <w:pStyle w:val="Compact"/>
        <w:numPr>
          <w:numId w:val="1020"/>
          <w:ilvl w:val="0"/>
        </w:numPr>
      </w:pPr>
      <w:r>
        <w:t xml:space="preserve">TSS temperate shelf and seas ecosystems</w:t>
      </w:r>
    </w:p>
    <w:p>
      <w:pPr>
        <w:pStyle w:val="Compact"/>
        <w:numPr>
          <w:numId w:val="1020"/>
          <w:ilvl w:val="0"/>
        </w:numPr>
      </w:pPr>
      <w:r>
        <w:t xml:space="preserve">TEU temperate upwellings</w:t>
      </w:r>
    </w:p>
    <w:p>
      <w:pPr>
        <w:pStyle w:val="Compact"/>
        <w:numPr>
          <w:numId w:val="1020"/>
          <w:ilvl w:val="0"/>
        </w:numPr>
      </w:pPr>
      <w:r>
        <w:t xml:space="preserve">TRU tropical upwellings</w:t>
      </w:r>
    </w:p>
    <w:p>
      <w:pPr>
        <w:pStyle w:val="Compact"/>
        <w:numPr>
          <w:numId w:val="1020"/>
          <w:ilvl w:val="0"/>
        </w:numPr>
      </w:pPr>
      <w:r>
        <w:t xml:space="preserve">TRC tropical coral</w:t>
      </w:r>
    </w:p>
    <w:p>
      <w:pPr>
        <w:pStyle w:val="FirstParagraph"/>
      </w:pPr>
      <w:r>
        <w:t xml:space="preserve">For a more inclusive description of water ecoregions, see</w:t>
      </w:r>
      <w:r>
        <w:t xml:space="preserve"> </w:t>
      </w:r>
      <w:hyperlink r:id="rId75">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1727"/>
            <wp:effectExtent b="0" l="0" r="0" t="0"/>
            <wp:docPr descr="Ecoregions" id="1" name="Picture"/>
            <a:graphic>
              <a:graphicData uri="http://schemas.openxmlformats.org/drawingml/2006/picture">
                <pic:pic>
                  <pic:nvPicPr>
                    <pic:cNvPr descr="images/OlsonEcoregions.png" id="0" name="Picture"/>
                    <pic:cNvPicPr>
                      <a:picLocks noChangeArrowheads="1" noChangeAspect="1"/>
                    </pic:cNvPicPr>
                  </pic:nvPicPr>
                  <pic:blipFill>
                    <a:blip r:embed="rId76"/>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7" w:name="growthformraunkiaer-p"/>
      <w:bookmarkEnd w:id="77"/>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21"/>
          <w:ilvl w:val="0"/>
        </w:numPr>
      </w:pPr>
      <w:r>
        <w:t xml:space="preserve">Megaphanerophyte Overwintering buds positioned at &gt;30 m height (e.g. large trees)</w:t>
      </w:r>
    </w:p>
    <w:p>
      <w:pPr>
        <w:pStyle w:val="Compact"/>
        <w:numPr>
          <w:numId w:val="1021"/>
          <w:ilvl w:val="0"/>
        </w:numPr>
      </w:pPr>
      <w:r>
        <w:t xml:space="preserve">Mesophanerophyte Overwintering buds positioned at 8-30 m height (e.g. medium trees)</w:t>
      </w:r>
    </w:p>
    <w:p>
      <w:pPr>
        <w:pStyle w:val="Compact"/>
        <w:numPr>
          <w:numId w:val="1021"/>
          <w:ilvl w:val="0"/>
        </w:numPr>
      </w:pPr>
      <w:r>
        <w:t xml:space="preserve">Nanophanerophyte Overwintering buds positioned at0.25-8 m max height (e.g. small trees and all shrubs)</w:t>
      </w:r>
    </w:p>
    <w:p>
      <w:pPr>
        <w:pStyle w:val="Compact"/>
        <w:numPr>
          <w:numId w:val="1021"/>
          <w:ilvl w:val="0"/>
        </w:numPr>
      </w:pPr>
      <w:r>
        <w:t xml:space="preserve">Chamaephyte Buds on persistent shoots near the ground</w:t>
      </w:r>
    </w:p>
    <w:p>
      <w:pPr>
        <w:pStyle w:val="Compact"/>
        <w:numPr>
          <w:numId w:val="1021"/>
          <w:ilvl w:val="0"/>
        </w:numPr>
      </w:pPr>
      <w:r>
        <w:t xml:space="preserve">Hemicryptophyte Buds at or near the soil surface (e.g. daisy, dandelion)</w:t>
      </w:r>
    </w:p>
    <w:p>
      <w:pPr>
        <w:pStyle w:val="Compact"/>
        <w:numPr>
          <w:numId w:val="1021"/>
          <w:ilvl w:val="0"/>
        </w:numPr>
      </w:pPr>
      <w:r>
        <w:t xml:space="preserve">Geophyte Buds resting under dry ground (e.g. crocus, tulip)</w:t>
      </w:r>
    </w:p>
    <w:p>
      <w:pPr>
        <w:pStyle w:val="Compact"/>
        <w:numPr>
          <w:numId w:val="1021"/>
          <w:ilvl w:val="0"/>
        </w:numPr>
      </w:pPr>
      <w:r>
        <w:t xml:space="preserve">Helophyte Buds resting in marshy ground (e.g. reedmace, marsh-marigold)</w:t>
      </w:r>
    </w:p>
    <w:p>
      <w:pPr>
        <w:pStyle w:val="Compact"/>
        <w:numPr>
          <w:numId w:val="1021"/>
          <w:ilvl w:val="0"/>
        </w:numPr>
      </w:pPr>
      <w:r>
        <w:t xml:space="preserve">Hydrophyte Resting by being submerged under water (e.g. water-lily, frogbit)</w:t>
      </w:r>
    </w:p>
    <w:p>
      <w:pPr>
        <w:pStyle w:val="Compact"/>
        <w:numPr>
          <w:numId w:val="1021"/>
          <w:ilvl w:val="0"/>
        </w:numPr>
      </w:pPr>
      <w:r>
        <w:t xml:space="preserve">Therophyte Mostly annual and biennial plants</w:t>
      </w:r>
    </w:p>
    <w:p>
      <w:pPr>
        <w:pStyle w:val="Compact"/>
        <w:numPr>
          <w:numId w:val="1021"/>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5672"/>
            <wp:effectExtent b="0" l="0" r="0" t="0"/>
            <wp:docPr descr="Raunkiaer" id="1" name="Picture"/>
            <a:graphic>
              <a:graphicData uri="http://schemas.openxmlformats.org/drawingml/2006/picture">
                <pic:pic>
                  <pic:nvPicPr>
                    <pic:cNvPr descr="images/Raunkiaer.png" id="0" name="Picture"/>
                    <pic:cNvPicPr>
                      <a:picLocks noChangeArrowheads="1" noChangeAspect="1"/>
                    </pic:cNvPicPr>
                  </pic:nvPicPr>
                  <pic:blipFill>
                    <a:blip r:embed="rId78"/>
                    <a:stretch>
                      <a:fillRect/>
                    </a:stretch>
                  </pic:blipFill>
                  <pic:spPr bwMode="auto">
                    <a:xfrm>
                      <a:off x="0" y="0"/>
                      <a:ext cx="5334000" cy="2635672"/>
                    </a:xfrm>
                    <a:prstGeom prst="rect">
                      <a:avLst/>
                    </a:prstGeom>
                    <a:noFill/>
                    <a:ln w="9525">
                      <a:noFill/>
                      <a:headEnd/>
                      <a:tailEnd/>
                    </a:ln>
                  </pic:spPr>
                </pic:pic>
              </a:graphicData>
            </a:graphic>
          </wp:inline>
        </w:drawing>
      </w:r>
    </w:p>
    <w:p>
      <w:pPr>
        <w:pStyle w:val="ImageCaption"/>
      </w:pPr>
      <w:r>
        <w:t xml:space="preserve">Raunkiaer</w:t>
      </w:r>
    </w:p>
    <w:p>
      <w:pPr>
        <w:pStyle w:val="Compact"/>
        <w:numPr>
          <w:numId w:val="1022"/>
          <w:ilvl w:val="0"/>
        </w:numPr>
      </w:pPr>
      <w:r>
        <w:t xml:space="preserve">Phanerophytes</w:t>
      </w:r>
    </w:p>
    <w:p>
      <w:pPr>
        <w:pStyle w:val="Compact"/>
        <w:numPr>
          <w:numId w:val="1022"/>
          <w:ilvl w:val="0"/>
        </w:numPr>
      </w:pPr>
      <w:r>
        <w:t xml:space="preserve">Chamaephyte</w:t>
      </w:r>
    </w:p>
    <w:p>
      <w:pPr>
        <w:pStyle w:val="Compact"/>
        <w:numPr>
          <w:numId w:val="1022"/>
          <w:ilvl w:val="0"/>
        </w:numPr>
      </w:pPr>
      <w:r>
        <w:t xml:space="preserve">Chamaephyte</w:t>
      </w:r>
    </w:p>
    <w:p>
      <w:pPr>
        <w:pStyle w:val="Compact"/>
        <w:numPr>
          <w:numId w:val="1022"/>
          <w:ilvl w:val="0"/>
        </w:numPr>
      </w:pPr>
      <w:r>
        <w:t xml:space="preserve">Hemicryptophyte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Helophyte</w:t>
      </w:r>
    </w:p>
    <w:p>
      <w:pPr>
        <w:pStyle w:val="Compact"/>
        <w:numPr>
          <w:numId w:val="1022"/>
          <w:ilvl w:val="0"/>
        </w:numPr>
      </w:pPr>
      <w:r>
        <w:t xml:space="preserve">Cryptophytes, more specifically: Hydrophyte</w:t>
      </w:r>
    </w:p>
    <w:p>
      <w:pPr>
        <w:pStyle w:val="Compact"/>
        <w:numPr>
          <w:numId w:val="1022"/>
          <w:ilvl w:val="0"/>
        </w:numPr>
      </w:pPr>
      <w:r>
        <w:t xml:space="preserve">Cryptophytes, more specifically: Hydrophyte</w:t>
      </w:r>
    </w:p>
    <w:p>
      <w:pPr>
        <w:pStyle w:val="Compact"/>
        <w:numPr>
          <w:numId w:val="1022"/>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23"/>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w:t>
      </w:r>
      <w:r>
        <w:t xml:space="preserve"> </w:t>
      </w:r>
      <w:r>
        <w:t xml:space="preserve">“Shrub” and “Succulent” are either “Chamaephyte” or (most often) “Nanophanerophyte”, but in some species they be “Mesophanerophyte”.</w:t>
      </w:r>
    </w:p>
    <w:p>
      <w:pPr>
        <w:pStyle w:val="Compact"/>
        <w:numPr>
          <w:numId w:val="1023"/>
          <w:ilvl w:val="0"/>
        </w:numPr>
      </w:pPr>
      <w:r>
        <w:t xml:space="preserve">“Herbaceous perennials” may be “Hydrophyte”, “Helophyte”, “Epiphyte”, “Geophyte”, “Hemicryptophyte” or “Chamaephyte”.</w:t>
      </w:r>
    </w:p>
    <w:p>
      <w:pPr>
        <w:pStyle w:val="Compact"/>
        <w:numPr>
          <w:numId w:val="1024"/>
          <w:ilvl w:val="1"/>
        </w:numPr>
      </w:pPr>
      <w:r>
        <w:t xml:space="preserve">Hydrophyte: herbaceous perennial that lives in or really close to a lake, river or sea</w:t>
      </w:r>
    </w:p>
    <w:p>
      <w:pPr>
        <w:pStyle w:val="Compact"/>
        <w:numPr>
          <w:numId w:val="1024"/>
          <w:ilvl w:val="1"/>
        </w:numPr>
      </w:pPr>
      <w:r>
        <w:t xml:space="preserve">Helophyte: herbaceous perennial that lives in a marsh or wetland</w:t>
      </w:r>
    </w:p>
    <w:p>
      <w:pPr>
        <w:pStyle w:val="Compact"/>
        <w:numPr>
          <w:numId w:val="1024"/>
          <w:ilvl w:val="1"/>
        </w:numPr>
      </w:pPr>
      <w:r>
        <w:t xml:space="preserve">Geophyte: herbaceous perennial that overwinters below ground. These species have a storage below ground of the following types: rhizome, tuber, bulb or similar</w:t>
      </w:r>
    </w:p>
    <w:p>
      <w:pPr>
        <w:pStyle w:val="Compact"/>
        <w:numPr>
          <w:numId w:val="1024"/>
          <w:ilvl w:val="1"/>
        </w:numPr>
      </w:pPr>
      <w:r>
        <w:t xml:space="preserve">Hemicryptophyte: herbaceous perennial without storage organ below ground that will overwinter right at ground level</w:t>
      </w:r>
    </w:p>
    <w:p>
      <w:pPr>
        <w:pStyle w:val="Compact"/>
        <w:numPr>
          <w:numId w:val="1024"/>
          <w:ilvl w:val="1"/>
        </w:numPr>
      </w:pPr>
      <w:r>
        <w:t xml:space="preserve">Chamaephyte: herbaceous perennial that will overwinter above ground but no higher than 25 cm.</w:t>
      </w:r>
    </w:p>
    <w:p>
      <w:pPr>
        <w:pStyle w:val="Compact"/>
        <w:numPr>
          <w:numId w:val="1023"/>
          <w:ilvl w:val="0"/>
        </w:numPr>
      </w:pPr>
      <w:r>
        <w:t xml:space="preserve">“Annual” (and biennials or pseudo-annuals) are “Therophyte”.</w:t>
      </w:r>
    </w:p>
    <w:p>
      <w:pPr>
        <w:pStyle w:val="Compact"/>
        <w:numPr>
          <w:numId w:val="1023"/>
          <w:ilvl w:val="0"/>
        </w:numPr>
      </w:pPr>
      <w:r>
        <w:t xml:space="preserve">“Algae” is “Hydrophyte”.</w:t>
      </w:r>
    </w:p>
    <w:p>
      <w:pPr>
        <w:pStyle w:val="Compact"/>
        <w:numPr>
          <w:numId w:val="1023"/>
          <w:ilvl w:val="0"/>
        </w:numPr>
      </w:pPr>
      <w:r>
        <w:t xml:space="preserve">“Bryophyte” can be “Epiphyte” or “Hemicryptophyte”.</w:t>
      </w:r>
    </w:p>
    <w:p>
      <w:pPr>
        <w:pStyle w:val="Compact"/>
        <w:numPr>
          <w:numId w:val="1023"/>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9" w:name="purposes"/>
      <w:bookmarkEnd w:id="79"/>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5"/>
          <w:ilvl w:val="0"/>
        </w:numPr>
      </w:pPr>
      <w:r>
        <w:t xml:space="preserve">Comparative demography - When the authors studied two or more species</w:t>
      </w:r>
    </w:p>
    <w:p>
      <w:pPr>
        <w:pStyle w:val="Compact"/>
        <w:numPr>
          <w:numId w:val="1025"/>
          <w:ilvl w:val="0"/>
        </w:numPr>
      </w:pPr>
      <w:r>
        <w:t xml:space="preserve">Spatial demography - When the authors studied the demography of two or more populations within the same species</w:t>
      </w:r>
    </w:p>
    <w:p>
      <w:pPr>
        <w:pStyle w:val="Compact"/>
        <w:numPr>
          <w:numId w:val="1025"/>
          <w:ilvl w:val="0"/>
        </w:numPr>
      </w:pPr>
      <w:r>
        <w:t xml:space="preserve">Abiotic impacts - When the authors studied the effects of abiotic factors (e.g fire, hurricanes, rain, fertilisers, droughts, etc)</w:t>
      </w:r>
    </w:p>
    <w:p>
      <w:pPr>
        <w:pStyle w:val="Compact"/>
        <w:numPr>
          <w:numId w:val="1025"/>
          <w:ilvl w:val="0"/>
        </w:numPr>
      </w:pPr>
      <w:r>
        <w:t xml:space="preserve">PVA - When the authors report a Population Viability Analysis of an endangered species</w:t>
      </w:r>
    </w:p>
    <w:p>
      <w:pPr>
        <w:pStyle w:val="Compact"/>
        <w:numPr>
          <w:numId w:val="1025"/>
          <w:ilvl w:val="0"/>
        </w:numPr>
      </w:pPr>
      <w:r>
        <w:t xml:space="preserve">Species dynamics description - When there is no actual treatment in the study (Unmanipulated). Instead, the goal was to describe the natural dynamics of a species</w:t>
      </w:r>
    </w:p>
    <w:p>
      <w:pPr>
        <w:pStyle w:val="Compact"/>
        <w:numPr>
          <w:numId w:val="1025"/>
          <w:ilvl w:val="0"/>
        </w:numPr>
      </w:pPr>
      <w:r>
        <w:t xml:space="preserve">Interspecific interactions - When the authors studied the interactions between different species (e.g herbivory, pollinators, inter-specific competition, predation, parasitism, etc)</w:t>
      </w:r>
    </w:p>
    <w:p>
      <w:pPr>
        <w:pStyle w:val="Compact"/>
        <w:numPr>
          <w:numId w:val="1025"/>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5"/>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80" w:name="treatment"/>
      <w:bookmarkEnd w:id="80"/>
      <w:r>
        <w:t xml:space="preserve">Treatment</w:t>
      </w:r>
    </w:p>
    <w:p>
      <w:pPr>
        <w:pStyle w:val="FirstParagraph"/>
      </w:pPr>
      <w:r>
        <w:t xml:space="preserve">Records any treatments of any kind other than control/unmanipulated.</w:t>
      </w:r>
      <w:r>
        <w:t xml:space="preserve"> </w:t>
      </w:r>
      <w:r>
        <w:t xml:space="preserve">Be concise with the treatment description. Multiple treatments should be separated with a semi-colon ";".</w:t>
      </w:r>
      <w:r>
        <w:t xml:space="preserve"> </w:t>
      </w:r>
      <w:r>
        <w:t xml:space="preserve">Enter "No" if the matrices are only obtained from unmanipulated conditions (for definition of "unmanipulated" see "MatrixTreatment" below).</w:t>
      </w:r>
    </w:p>
    <w:p>
      <w:r>
        <w:pict>
          <v:rect style="width:0;height:1.5pt" o:hralign="center" o:hrstd="t" o:hr="t"/>
        </w:pict>
      </w:r>
    </w:p>
    <w:p>
      <w:pPr>
        <w:pStyle w:val="Heading2"/>
      </w:pPr>
      <w:bookmarkStart w:id="81" w:name="studystart"/>
      <w:bookmarkEnd w:id="81"/>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82" w:name="studyend"/>
      <w:bookmarkEnd w:id="82"/>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83" w:name="studyduration"/>
      <w:bookmarkEnd w:id="83"/>
      <w:r>
        <w:t xml:space="preserve">StudyDuration</w:t>
      </w:r>
    </w:p>
    <w:p>
      <w:pPr>
        <w:pStyle w:val="FirstParagraph"/>
      </w:pPr>
      <w:r>
        <w:t xml:space="preserve">Records the number of years of observation, e.g. 5.</w:t>
      </w:r>
      <w:r>
        <w:t xml:space="preserve"> </w:t>
      </w:r>
      <w:r>
        <w:t xml:space="preserve">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84" w:name="annualperiodicity"/>
      <w:bookmarkEnd w:id="84"/>
      <w:r>
        <w:t xml:space="preserve">AnnualPeriodicity</w:t>
      </w:r>
    </w:p>
    <w:p>
      <w:pPr>
        <w:pStyle w:val="FirstParagraph"/>
      </w:pPr>
      <w:r>
        <w:t xml:space="preserve">Frequency with which seasonal or annual the matrix population model was constructed. For example:</w:t>
      </w:r>
    </w:p>
    <w:p>
      <w:pPr>
        <w:pStyle w:val="Compact"/>
        <w:numPr>
          <w:numId w:val="1026"/>
          <w:ilvl w:val="0"/>
        </w:numPr>
      </w:pPr>
      <w:r>
        <w:t xml:space="preserve">1 - Once a year</w:t>
      </w:r>
    </w:p>
    <w:p>
      <w:pPr>
        <w:pStyle w:val="Compact"/>
        <w:numPr>
          <w:numId w:val="1026"/>
          <w:ilvl w:val="0"/>
        </w:numPr>
      </w:pPr>
      <w:r>
        <w:t xml:space="preserve">2 - Twice per year (e.g. in January and in June)</w:t>
      </w:r>
    </w:p>
    <w:p>
      <w:pPr>
        <w:pStyle w:val="Compact"/>
        <w:numPr>
          <w:numId w:val="1026"/>
          <w:ilvl w:val="0"/>
        </w:numPr>
      </w:pPr>
      <w:r>
        <w:t xml:space="preserve">0.2 - Once every five years</w:t>
      </w:r>
    </w:p>
    <w:p>
      <w:pPr>
        <w:pStyle w:val="Compact"/>
        <w:numPr>
          <w:numId w:val="1026"/>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t>1</m:t>
        </m:r>
        <m:r>
          <m:t>*</m:t>
        </m:r>
        <m:r>
          <m:t>N</m:t>
        </m:r>
      </m:oMath>
      <w:r>
        <w:t xml:space="preserve">, where N is the number of visits to the site per year, e.g.</w:t>
      </w:r>
      <w:r>
        <w:t xml:space="preserve"> </w:t>
      </w:r>
      <m:oMath>
        <m:r>
          <m:t>1</m:t>
        </m:r>
        <m:r>
          <m:t>*</m:t>
        </m:r>
        <m:r>
          <m:t>2</m:t>
        </m:r>
        <m:r>
          <m:t>=</m:t>
        </m:r>
        <m:r>
          <m:t>2</m:t>
        </m:r>
      </m:oMath>
      <w:r>
        <w:t xml:space="preserve">. If the study site has been revisited less than once per year calculate</w:t>
      </w:r>
      <w:r>
        <w:t xml:space="preserve"> </w:t>
      </w:r>
      <m:oMath>
        <m:r>
          <m:t>1</m:t>
        </m:r>
        <m:r>
          <m:t>/</m:t>
        </m:r>
        <m:r>
          <m:t>Y</m:t>
        </m:r>
      </m:oMath>
      <w:r>
        <w:t xml:space="preserve">, where Y is the number of years, e.g.</w:t>
      </w:r>
      <w:r>
        <w:t xml:space="preserve"> </w:t>
      </w:r>
      <m:oMath>
        <m:r>
          <m:t>1</m:t>
        </m:r>
        <m:r>
          <m:t>/</m:t>
        </m:r>
        <m:r>
          <m:t>5</m:t>
        </m:r>
        <m:r>
          <m:t>=</m:t>
        </m:r>
        <m:r>
          <m:t>0.2</m:t>
        </m:r>
      </m:oMath>
      <w:r>
        <w:t xml:space="preserve">.</w:t>
      </w:r>
    </w:p>
    <w:p>
      <w:r>
        <w:pict>
          <v:rect style="width:0;height:1.5pt" o:hralign="center" o:hrstd="t" o:hr="t"/>
        </w:pict>
      </w:r>
    </w:p>
    <w:p>
      <w:pPr>
        <w:pStyle w:val="Heading2"/>
      </w:pPr>
      <w:bookmarkStart w:id="85" w:name="numberpopulations"/>
      <w:bookmarkEnd w:id="85"/>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86" w:name="withinsitereplication"/>
      <w:bookmarkEnd w:id="86"/>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7" w:name="matrixcriteriasize"/>
      <w:bookmarkEnd w:id="87"/>
      <w:r>
        <w:t xml:space="preserve">MatrixCriteriaSize</w:t>
      </w:r>
    </w:p>
    <w:p>
      <w:pPr>
        <w:pStyle w:val="FirstParagraph"/>
      </w:pPr>
      <w:r>
        <w:t xml:space="preserve">Records whether the matrix model is based on size (e.g. stem length/number, body length/mass, etc).</w:t>
      </w:r>
    </w:p>
    <w:p>
      <w:pPr>
        <w:pStyle w:val="Compact"/>
        <w:numPr>
          <w:numId w:val="1027"/>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7"/>
          <w:ilvl w:val="0"/>
        </w:numPr>
      </w:pPr>
      <w:r>
        <w:t xml:space="preserve">No - The matrix population model is not based on size.</w:t>
      </w:r>
    </w:p>
    <w:p>
      <w:r>
        <w:pict>
          <v:rect style="width:0;height:1.5pt" o:hralign="center" o:hrstd="t" o:hr="t"/>
        </w:pict>
      </w:r>
    </w:p>
    <w:p>
      <w:pPr>
        <w:pStyle w:val="Heading2"/>
      </w:pPr>
      <w:bookmarkStart w:id="88" w:name="matrixcriteriaontogeny"/>
      <w:bookmarkEnd w:id="88"/>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8"/>
          <w:ilvl w:val="0"/>
        </w:numPr>
      </w:pPr>
      <w:r>
        <w:t xml:space="preserve">Yes - The matrix population model contains at least one class that is based on development/ontogeny (e.g. seedbank, reproductive, vegetative, dormant, etc).</w:t>
      </w:r>
    </w:p>
    <w:p>
      <w:pPr>
        <w:pStyle w:val="Compact"/>
        <w:numPr>
          <w:numId w:val="1028"/>
          <w:ilvl w:val="0"/>
        </w:numPr>
      </w:pPr>
      <w:r>
        <w:t xml:space="preserve">No - Matrix population model is not based on ontogeny.</w:t>
      </w:r>
    </w:p>
    <w:p>
      <w:pPr>
        <w:pStyle w:val="Compact"/>
        <w:numPr>
          <w:numId w:val="1028"/>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9" w:name="matrixcriteriaage"/>
      <w:bookmarkEnd w:id="89"/>
      <w:r>
        <w:t xml:space="preserve">MatrixCriteriaAge</w:t>
      </w:r>
    </w:p>
    <w:p>
      <w:pPr>
        <w:pStyle w:val="FirstParagraph"/>
      </w:pPr>
      <w:r>
        <w:t xml:space="preserve">Records whether there are any classes that are based on age.</w:t>
      </w:r>
    </w:p>
    <w:p>
      <w:pPr>
        <w:pStyle w:val="Compact"/>
        <w:numPr>
          <w:numId w:val="1029"/>
          <w:ilvl w:val="0"/>
        </w:numPr>
      </w:pPr>
      <w:r>
        <w:t xml:space="preserve">Yes - The matrix population model contains at least one class that is based on age (e.g. individuals of 0 year old)</w:t>
      </w:r>
    </w:p>
    <w:p>
      <w:pPr>
        <w:pStyle w:val="Compact"/>
        <w:numPr>
          <w:numId w:val="1029"/>
          <w:ilvl w:val="0"/>
        </w:numPr>
      </w:pPr>
      <w:r>
        <w:t xml:space="preserve">No - The matrix population model is not based on age</w:t>
      </w:r>
    </w:p>
    <w:p>
      <w:pPr>
        <w:pStyle w:val="Compact"/>
        <w:numPr>
          <w:numId w:val="1029"/>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90" w:name="stacked-matrix-files"/>
      <w:bookmarkEnd w:id="90"/>
      <w:r>
        <w:t xml:space="preserve">STACKED MATRIX FILES</w:t>
      </w:r>
    </w:p>
    <w:p>
      <w:r>
        <w:pict>
          <v:rect style="width:0;height:1.5pt" o:hralign="center" o:hrstd="t" o:hr="t"/>
        </w:pict>
      </w:r>
    </w:p>
    <w:p>
      <w:pPr>
        <w:pStyle w:val="Heading2"/>
      </w:pPr>
      <w:bookmarkStart w:id="91" w:name="enteredby"/>
      <w:bookmarkEnd w:id="91"/>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92" w:name="entereddate"/>
      <w:bookmarkEnd w:id="92"/>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93" w:name="source"/>
      <w:bookmarkEnd w:id="93"/>
      <w:r>
        <w:t xml:space="preserve">Source</w:t>
      </w:r>
    </w:p>
    <w:p>
      <w:pPr>
        <w:pStyle w:val="FirstParagraph"/>
      </w:pPr>
      <w:r>
        <w:t xml:space="preserve">Origin of data. If sources other than those below are used, a short but useful description should be given.</w:t>
      </w:r>
      <w:r>
        <w:t xml:space="preserve"> </w:t>
      </w:r>
      <w:r>
        <w:t xml:space="preserve">The aim of this column is that everybody can find the related information ASAP e.g. if something needs to be fixed.</w:t>
      </w:r>
    </w:p>
    <w:p>
      <w:pPr>
        <w:pStyle w:val="Compact"/>
        <w:numPr>
          <w:numId w:val="1030"/>
          <w:ilvl w:val="0"/>
        </w:numPr>
      </w:pPr>
      <w:r>
        <w:t xml:space="preserve">Author communication - Matrices derived from personal communication with author.</w:t>
      </w:r>
    </w:p>
    <w:p>
      <w:pPr>
        <w:pStyle w:val="Compact"/>
        <w:numPr>
          <w:numId w:val="1030"/>
          <w:ilvl w:val="0"/>
        </w:numPr>
      </w:pPr>
      <w:r>
        <w:t xml:space="preserve">Paper - Matrices derived from a published manuscript</w:t>
      </w:r>
    </w:p>
    <w:p>
      <w:pPr>
        <w:pStyle w:val="Compact"/>
        <w:numPr>
          <w:numId w:val="1030"/>
          <w:ilvl w:val="0"/>
        </w:numPr>
      </w:pPr>
      <w:r>
        <w:t xml:space="preserve">Old matrices - Matrices derived from an old matrices file (no more detailed description is available)</w:t>
      </w:r>
    </w:p>
    <w:p>
      <w:pPr>
        <w:pStyle w:val="Compact"/>
        <w:numPr>
          <w:numId w:val="1030"/>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30"/>
          <w:ilvl w:val="0"/>
        </w:numPr>
      </w:pPr>
      <w:r>
        <w:t xml:space="preserve">Online appendix - Matrices derived from the online appendix of publication</w:t>
      </w:r>
    </w:p>
    <w:p>
      <w:pPr>
        <w:pStyle w:val="Compact"/>
        <w:numPr>
          <w:numId w:val="1030"/>
          <w:ilvl w:val="0"/>
        </w:numPr>
      </w:pPr>
      <w:r>
        <w:t xml:space="preserve">Book - Matrices derived from a book</w:t>
      </w:r>
    </w:p>
    <w:p>
      <w:pPr>
        <w:pStyle w:val="Compact"/>
        <w:numPr>
          <w:numId w:val="1030"/>
          <w:ilvl w:val="0"/>
        </w:numPr>
      </w:pPr>
      <w:r>
        <w:t xml:space="preserve">Other sources - Matrices derived from any other source.</w:t>
      </w:r>
    </w:p>
    <w:p>
      <w:r>
        <w:pict>
          <v:rect style="width:0;height:1.5pt" o:hralign="center" o:hrstd="t" o:hr="t"/>
        </w:pict>
      </w:r>
    </w:p>
    <w:p>
      <w:pPr>
        <w:pStyle w:val="Heading2"/>
      </w:pPr>
      <w:bookmarkStart w:id="94" w:name="speciesauthor-1"/>
      <w:bookmarkEnd w:id="94"/>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95" w:name="studiedsex"/>
      <w:bookmarkEnd w:id="95"/>
      <w:r>
        <w:t xml:space="preserve">StudiedSex</w:t>
      </w:r>
    </w:p>
    <w:p>
      <w:pPr>
        <w:pStyle w:val="FirstParagraph"/>
      </w:pPr>
      <w:r>
        <w:t xml:space="preserve">Indication of the sex(es) considered when constructing the matrix population model.</w:t>
      </w:r>
    </w:p>
    <w:p>
      <w:pPr>
        <w:pStyle w:val="Compact"/>
        <w:numPr>
          <w:numId w:val="1031"/>
          <w:ilvl w:val="0"/>
        </w:numPr>
      </w:pPr>
      <w:r>
        <w:t xml:space="preserve">M - Studied only males</w:t>
      </w:r>
    </w:p>
    <w:p>
      <w:pPr>
        <w:pStyle w:val="Compact"/>
        <w:numPr>
          <w:numId w:val="1031"/>
          <w:ilvl w:val="0"/>
        </w:numPr>
      </w:pPr>
      <w:r>
        <w:t xml:space="preserve">F - Studied only females</w:t>
      </w:r>
    </w:p>
    <w:p>
      <w:pPr>
        <w:pStyle w:val="Compact"/>
        <w:numPr>
          <w:numId w:val="1031"/>
          <w:ilvl w:val="0"/>
        </w:numPr>
      </w:pPr>
      <w:r>
        <w:t xml:space="preserve">H - Hermaphrodites</w:t>
      </w:r>
    </w:p>
    <w:p>
      <w:pPr>
        <w:pStyle w:val="Compact"/>
        <w:numPr>
          <w:numId w:val="1031"/>
          <w:ilvl w:val="0"/>
        </w:numPr>
      </w:pPr>
      <w:r>
        <w:t xml:space="preserve">M/F - Males and females separately in the same population matrix model</w:t>
      </w:r>
    </w:p>
    <w:p>
      <w:pPr>
        <w:pStyle w:val="Compact"/>
        <w:numPr>
          <w:numId w:val="1031"/>
          <w:ilvl w:val="0"/>
        </w:numPr>
      </w:pPr>
      <w:r>
        <w:t xml:space="preserve">A - All sexes together</w:t>
      </w:r>
    </w:p>
    <w:p>
      <w:pPr>
        <w:pStyle w:val="Compact"/>
        <w:numPr>
          <w:numId w:val="1031"/>
          <w:ilvl w:val="0"/>
        </w:numPr>
      </w:pPr>
      <w:r>
        <w:t xml:space="preserve">NA - There are no distinct sexes (e.g. a virus)</w:t>
      </w:r>
    </w:p>
    <w:p>
      <w:r>
        <w:pict>
          <v:rect style="width:0;height:1.5pt" o:hralign="center" o:hrstd="t" o:hr="t"/>
        </w:pict>
      </w:r>
    </w:p>
    <w:p>
      <w:pPr>
        <w:pStyle w:val="Heading2"/>
      </w:pPr>
      <w:bookmarkStart w:id="96" w:name="matrixcomposite"/>
      <w:bookmarkEnd w:id="96"/>
      <w:r>
        <w:t xml:space="preserve">MatrixComposite</w:t>
      </w:r>
    </w:p>
    <w:p>
      <w:pPr>
        <w:pStyle w:val="FirstParagraph"/>
      </w:pPr>
      <w:r>
        <w:t xml:space="preserve">Indicates the type of matrix population model (See the figure below for more information).</w:t>
      </w:r>
    </w:p>
    <w:p>
      <w:pPr>
        <w:pStyle w:val="Compact"/>
        <w:numPr>
          <w:numId w:val="1032"/>
          <w:ilvl w:val="0"/>
        </w:numPr>
      </w:pPr>
      <w:r>
        <w:t xml:space="preserve">Individual - A matrix population model constructed for a single study × species × population × treatment × period combination</w:t>
      </w:r>
    </w:p>
    <w:p>
      <w:pPr>
        <w:pStyle w:val="Compact"/>
        <w:numPr>
          <w:numId w:val="1032"/>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3"/>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3"/>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Matrix Composite" id="1" name="Picture"/>
            <a:graphic>
              <a:graphicData uri="http://schemas.openxmlformats.org/drawingml/2006/picture">
                <pic:pic>
                  <pic:nvPicPr>
                    <pic:cNvPr descr="images/MatrixComposite.png" id="0" name="Picture"/>
                    <pic:cNvPicPr>
                      <a:picLocks noChangeArrowheads="1" noChangeAspect="1"/>
                    </pic:cNvPicPr>
                  </pic:nvPicPr>
                  <pic:blipFill>
                    <a:blip r:embed="rId97"/>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8" w:name="matrixtreatment"/>
      <w:bookmarkEnd w:id="98"/>
      <w:r>
        <w:t xml:space="preserve">MatrixTreatment</w:t>
      </w:r>
    </w:p>
    <w:p>
      <w:pPr>
        <w:pStyle w:val="FirstParagraph"/>
      </w:pPr>
      <w:r>
        <w:t xml:space="preserve">Describes if a treatment was applied or not, and the nature of the treatment.</w:t>
      </w:r>
    </w:p>
    <w:p>
      <w:pPr>
        <w:numPr>
          <w:numId w:val="1034"/>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4"/>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9" w:name="matrixcaptivity"/>
      <w:bookmarkEnd w:id="99"/>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5"/>
          <w:ilvl w:val="0"/>
        </w:numPr>
      </w:pPr>
      <w:r>
        <w:rPr>
          <w:b/>
        </w:rPr>
        <w:t xml:space="preserve">W</w:t>
      </w:r>
      <w:r>
        <w:t xml:space="preserve"> </w:t>
      </w:r>
      <w:r>
        <w:t xml:space="preserve">- Wild: the study was carried out in natural conditions.</w:t>
      </w:r>
    </w:p>
    <w:p>
      <w:pPr>
        <w:pStyle w:val="Compact"/>
        <w:numPr>
          <w:numId w:val="1035"/>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5"/>
          <w:ilvl w:val="0"/>
        </w:numPr>
      </w:pPr>
      <w:r>
        <w:rPr>
          <w:b/>
        </w:rPr>
        <w:t xml:space="preserve">CW</w:t>
      </w:r>
      <w:r>
        <w:t xml:space="preserve"> </w:t>
      </w:r>
      <w:r>
        <w:t xml:space="preserve">- Captured from wild: the study was carried out on a population that was captured from wild.</w:t>
      </w:r>
    </w:p>
    <w:p>
      <w:pPr>
        <w:pStyle w:val="Compact"/>
        <w:numPr>
          <w:numId w:val="1035"/>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100" w:name="yearseasonmonth"/>
      <w:bookmarkEnd w:id="100"/>
      <w:r>
        <w:t xml:space="preserve">YEAR/SEASON/MONTH</w:t>
      </w:r>
    </w:p>
    <w:p>
      <w:pPr>
        <w:pStyle w:val="FirstParagraph"/>
      </w:pPr>
      <w:r>
        <w:t xml:space="preserve">These 6 columns describe the temporal aspects of the study for each matrix.</w:t>
      </w:r>
    </w:p>
    <w:p>
      <w:pPr>
        <w:pStyle w:val="Heading3"/>
      </w:pPr>
      <w:bookmarkStart w:id="101" w:name="matrixstartyear"/>
      <w:bookmarkEnd w:id="101"/>
      <w:r>
        <w:t xml:space="preserve">MatrixStartYear</w:t>
      </w:r>
    </w:p>
    <w:p>
      <w:pPr>
        <w:pStyle w:val="FirstParagraph"/>
      </w:pPr>
      <w:r>
        <w:t xml:space="preserve">First year of study. Year</w:t>
      </w:r>
      <w:r>
        <w:t xml:space="preserve"> </w:t>
      </w:r>
      <m:oMath>
        <m:r>
          <m:t>t</m:t>
        </m:r>
      </m:oMath>
      <w:r>
        <w:t xml:space="preserve"> </w:t>
      </w:r>
      <w:r>
        <w:t xml:space="preserve">in annual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1995.</w:t>
      </w:r>
    </w:p>
    <w:p>
      <w:r>
        <w:pict>
          <v:rect style="width:0;height:1.5pt" o:hralign="center" o:hrstd="t" o:hr="t"/>
        </w:pict>
      </w:r>
    </w:p>
    <w:p>
      <w:pPr>
        <w:pStyle w:val="Heading2"/>
      </w:pPr>
      <w:bookmarkStart w:id="102" w:name="matrixstartseason"/>
      <w:bookmarkEnd w:id="102"/>
      <w:r>
        <w:t xml:space="preserve">MatrixStartSeason</w:t>
      </w:r>
    </w:p>
    <w:p>
      <w:pPr>
        <w:pStyle w:val="FirstParagraph"/>
      </w:pPr>
      <w:r>
        <w:t xml:space="preserve">Numeric indication of the first season of study. Season</w:t>
      </w:r>
      <w:r>
        <w:t xml:space="preserve"> </w:t>
      </w:r>
      <m:oMath>
        <m:r>
          <m:t>s</m:t>
        </m:r>
      </m:oMath>
      <w:r>
        <w:t xml:space="preserve"> </w:t>
      </w:r>
      <w:r>
        <w:t xml:space="preserve">in periodic matrix population model that describes population dynamics from season</w:t>
      </w:r>
      <w:r>
        <w:t xml:space="preserve"> </w:t>
      </w:r>
      <m:oMath>
        <m:r>
          <m:t>s</m:t>
        </m:r>
      </m:oMath>
      <w:r>
        <w:t xml:space="preserve"> </w:t>
      </w:r>
      <w:r>
        <w:t xml:space="preserve">to</w:t>
      </w:r>
      <w:r>
        <w:t xml:space="preserve"> </w:t>
      </w:r>
      <m:oMath>
        <m:r>
          <m:t>s</m:t>
        </m:r>
        <m:r>
          <m:t>+</m:t>
        </m:r>
        <m: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6"/>
          <w:ilvl w:val="0"/>
        </w:numPr>
      </w:pPr>
      <w:r>
        <w:t xml:space="preserve">Spring</w:t>
      </w:r>
    </w:p>
    <w:p>
      <w:pPr>
        <w:pStyle w:val="Compact"/>
        <w:numPr>
          <w:numId w:val="1036"/>
          <w:ilvl w:val="0"/>
        </w:numPr>
      </w:pPr>
      <w:r>
        <w:t xml:space="preserve">Summer</w:t>
      </w:r>
    </w:p>
    <w:p>
      <w:pPr>
        <w:pStyle w:val="Compact"/>
        <w:numPr>
          <w:numId w:val="1036"/>
          <w:ilvl w:val="0"/>
        </w:numPr>
      </w:pPr>
      <w:r>
        <w:t xml:space="preserve">Autumn or Fall</w:t>
      </w:r>
    </w:p>
    <w:p>
      <w:pPr>
        <w:pStyle w:val="Compact"/>
        <w:numPr>
          <w:numId w:val="1036"/>
          <w:ilvl w:val="0"/>
        </w:numPr>
      </w:pPr>
      <w:r>
        <w:t xml:space="preserve">Winter</w:t>
      </w:r>
    </w:p>
    <w:p>
      <w:r>
        <w:pict>
          <v:rect style="width:0;height:1.5pt" o:hralign="center" o:hrstd="t" o:hr="t"/>
        </w:pict>
      </w:r>
    </w:p>
    <w:p>
      <w:pPr>
        <w:pStyle w:val="Heading2"/>
      </w:pPr>
      <w:bookmarkStart w:id="103" w:name="matrixstartmonth"/>
      <w:bookmarkEnd w:id="103"/>
      <w:r>
        <w:t xml:space="preserve">MatrixStartMonth</w:t>
      </w:r>
    </w:p>
    <w:p>
      <w:pPr>
        <w:pStyle w:val="FirstParagraph"/>
      </w:pPr>
      <w:r>
        <w:t xml:space="preserve">Numeric indication of the first month of study. Month</w:t>
      </w:r>
      <w:r>
        <w:t xml:space="preserve"> </w:t>
      </w:r>
      <m:oMath>
        <m:r>
          <m:t>m</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p>
    <w:p>
      <w:pPr>
        <w:pStyle w:val="Compact"/>
        <w:numPr>
          <w:numId w:val="1037"/>
          <w:ilvl w:val="0"/>
        </w:numPr>
      </w:pPr>
      <w:r>
        <w:t xml:space="preserve">January</w:t>
      </w:r>
    </w:p>
    <w:p>
      <w:pPr>
        <w:pStyle w:val="Compact"/>
        <w:numPr>
          <w:numId w:val="1037"/>
          <w:ilvl w:val="0"/>
        </w:numPr>
      </w:pPr>
      <w:r>
        <w:t xml:space="preserve">February</w:t>
      </w:r>
    </w:p>
    <w:p>
      <w:pPr>
        <w:pStyle w:val="Compact"/>
        <w:numPr>
          <w:numId w:val="1037"/>
          <w:ilvl w:val="0"/>
        </w:numPr>
      </w:pPr>
      <w:r>
        <w:t xml:space="preserve">March</w:t>
      </w:r>
    </w:p>
    <w:p>
      <w:pPr>
        <w:pStyle w:val="Compact"/>
        <w:numPr>
          <w:numId w:val="1037"/>
          <w:ilvl w:val="0"/>
        </w:numPr>
      </w:pPr>
      <w:r>
        <w:t xml:space="preserve">April</w:t>
      </w:r>
    </w:p>
    <w:p>
      <w:pPr>
        <w:pStyle w:val="Compact"/>
        <w:numPr>
          <w:numId w:val="1037"/>
          <w:ilvl w:val="0"/>
        </w:numPr>
      </w:pPr>
      <w:r>
        <w:t xml:space="preserve">May</w:t>
      </w:r>
    </w:p>
    <w:p>
      <w:pPr>
        <w:pStyle w:val="Compact"/>
        <w:numPr>
          <w:numId w:val="1037"/>
          <w:ilvl w:val="0"/>
        </w:numPr>
      </w:pPr>
      <w:r>
        <w:t xml:space="preserve">June</w:t>
      </w:r>
    </w:p>
    <w:p>
      <w:pPr>
        <w:pStyle w:val="Compact"/>
        <w:numPr>
          <w:numId w:val="1037"/>
          <w:ilvl w:val="0"/>
        </w:numPr>
      </w:pPr>
      <w:r>
        <w:t xml:space="preserve">July</w:t>
      </w:r>
    </w:p>
    <w:p>
      <w:pPr>
        <w:pStyle w:val="Compact"/>
        <w:numPr>
          <w:numId w:val="1037"/>
          <w:ilvl w:val="0"/>
        </w:numPr>
      </w:pPr>
      <w:r>
        <w:t xml:space="preserve">August</w:t>
      </w:r>
    </w:p>
    <w:p>
      <w:pPr>
        <w:pStyle w:val="Compact"/>
        <w:numPr>
          <w:numId w:val="1037"/>
          <w:ilvl w:val="0"/>
        </w:numPr>
      </w:pPr>
      <w:r>
        <w:t xml:space="preserve">September</w:t>
      </w:r>
    </w:p>
    <w:p>
      <w:pPr>
        <w:pStyle w:val="Compact"/>
        <w:numPr>
          <w:numId w:val="1037"/>
          <w:ilvl w:val="0"/>
        </w:numPr>
      </w:pPr>
      <w:r>
        <w:t xml:space="preserve">October</w:t>
      </w:r>
    </w:p>
    <w:p>
      <w:pPr>
        <w:pStyle w:val="Compact"/>
        <w:numPr>
          <w:numId w:val="1037"/>
          <w:ilvl w:val="0"/>
        </w:numPr>
      </w:pPr>
      <w:r>
        <w:t xml:space="preserve">November</w:t>
      </w:r>
    </w:p>
    <w:p>
      <w:pPr>
        <w:pStyle w:val="Compact"/>
        <w:numPr>
          <w:numId w:val="1037"/>
          <w:ilvl w:val="0"/>
        </w:numPr>
      </w:pPr>
      <w:r>
        <w:t xml:space="preserve">December</w:t>
      </w:r>
    </w:p>
    <w:p>
      <w:r>
        <w:pict>
          <v:rect style="width:0;height:1.5pt" o:hralign="center" o:hrstd="t" o:hr="t"/>
        </w:pict>
      </w:r>
    </w:p>
    <w:p>
      <w:pPr>
        <w:pStyle w:val="Heading2"/>
      </w:pPr>
      <w:bookmarkStart w:id="104" w:name="matrixendyear"/>
      <w:bookmarkEnd w:id="104"/>
      <w:r>
        <w:t xml:space="preserve">MatrixEndYear</w:t>
      </w:r>
    </w:p>
    <w:p>
      <w:pPr>
        <w:pStyle w:val="FirstParagraph"/>
      </w:pPr>
      <w:r>
        <w:t xml:space="preserve">Last year of study. Year</w:t>
      </w:r>
      <w:r>
        <w:t xml:space="preserve"> </w:t>
      </w:r>
      <m:oMath>
        <m:r>
          <m:t>t</m:t>
        </m:r>
        <m:r>
          <m:t>+</m:t>
        </m:r>
        <m:r>
          <m:t>1</m:t>
        </m:r>
      </m:oMath>
      <w:r>
        <w:t xml:space="preserve"> </w:t>
      </w:r>
      <w:r>
        <w:t xml:space="preserve">in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2001.</w:t>
      </w:r>
    </w:p>
    <w:p>
      <w:r>
        <w:pict>
          <v:rect style="width:0;height:1.5pt" o:hralign="center" o:hrstd="t" o:hr="t"/>
        </w:pict>
      </w:r>
    </w:p>
    <w:p>
      <w:pPr>
        <w:pStyle w:val="Heading2"/>
      </w:pPr>
      <w:bookmarkStart w:id="105" w:name="matrixendseason"/>
      <w:bookmarkEnd w:id="105"/>
      <w:r>
        <w:t xml:space="preserve">MatrixEndSeason</w:t>
      </w:r>
    </w:p>
    <w:p>
      <w:pPr>
        <w:pStyle w:val="FirstParagraph"/>
      </w:pPr>
      <w:r>
        <w:t xml:space="preserve">Numeric indication of the end season of the matrix.</w:t>
      </w:r>
    </w:p>
    <w:p>
      <w:pPr>
        <w:pStyle w:val="Compact"/>
        <w:numPr>
          <w:numId w:val="1038"/>
          <w:ilvl w:val="0"/>
        </w:numPr>
      </w:pPr>
      <w:r>
        <w:t xml:space="preserve">Spring</w:t>
      </w:r>
    </w:p>
    <w:p>
      <w:pPr>
        <w:pStyle w:val="Compact"/>
        <w:numPr>
          <w:numId w:val="1038"/>
          <w:ilvl w:val="0"/>
        </w:numPr>
      </w:pPr>
      <w:r>
        <w:t xml:space="preserve">Summer</w:t>
      </w:r>
    </w:p>
    <w:p>
      <w:pPr>
        <w:pStyle w:val="Compact"/>
        <w:numPr>
          <w:numId w:val="1038"/>
          <w:ilvl w:val="0"/>
        </w:numPr>
      </w:pPr>
      <w:r>
        <w:t xml:space="preserve">Autumn or Fall</w:t>
      </w:r>
    </w:p>
    <w:p>
      <w:pPr>
        <w:pStyle w:val="Compact"/>
        <w:numPr>
          <w:numId w:val="1038"/>
          <w:ilvl w:val="0"/>
        </w:numPr>
      </w:pPr>
      <w:r>
        <w:t xml:space="preserve">Winter</w:t>
      </w:r>
    </w:p>
    <w:p>
      <w:r>
        <w:pict>
          <v:rect style="width:0;height:1.5pt" o:hralign="center" o:hrstd="t" o:hr="t"/>
        </w:pict>
      </w:r>
    </w:p>
    <w:p>
      <w:pPr>
        <w:pStyle w:val="Heading2"/>
      </w:pPr>
      <w:bookmarkStart w:id="106" w:name="matrixendmonth"/>
      <w:bookmarkEnd w:id="106"/>
      <w:r>
        <w:t xml:space="preserve">MatrixEndMonth</w:t>
      </w:r>
    </w:p>
    <w:p>
      <w:pPr>
        <w:pStyle w:val="FirstParagraph"/>
      </w:pPr>
      <w:r>
        <w:t xml:space="preserve">Numeric indication of the last month</w:t>
      </w:r>
      <w:r>
        <w:t xml:space="preserve"> </w:t>
      </w:r>
      <m:oMath>
        <m:r>
          <m:t>m</m:t>
        </m:r>
      </m:oMath>
      <w:r>
        <w:t xml:space="preserve"> </w:t>
      </w:r>
      <w:r>
        <w:t xml:space="preserve">of study. Month</w:t>
      </w:r>
      <w:r>
        <w:t xml:space="preserve"> </w:t>
      </w:r>
      <m:oMath>
        <m:r>
          <m:t>m</m:t>
        </m:r>
        <m:r>
          <m:t>+</m:t>
        </m:r>
        <m:r>
          <m:t>1</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w:t>
      </w:r>
    </w:p>
    <w:p>
      <w:pPr>
        <w:pStyle w:val="Compact"/>
        <w:numPr>
          <w:numId w:val="1039"/>
          <w:ilvl w:val="0"/>
        </w:numPr>
      </w:pPr>
      <w:r>
        <w:t xml:space="preserve">January</w:t>
      </w:r>
    </w:p>
    <w:p>
      <w:pPr>
        <w:pStyle w:val="Compact"/>
        <w:numPr>
          <w:numId w:val="1039"/>
          <w:ilvl w:val="0"/>
        </w:numPr>
      </w:pPr>
      <w:r>
        <w:t xml:space="preserve">February</w:t>
      </w:r>
    </w:p>
    <w:p>
      <w:pPr>
        <w:pStyle w:val="Compact"/>
        <w:numPr>
          <w:numId w:val="1039"/>
          <w:ilvl w:val="0"/>
        </w:numPr>
      </w:pPr>
      <w:r>
        <w:t xml:space="preserve">March</w:t>
      </w:r>
    </w:p>
    <w:p>
      <w:pPr>
        <w:pStyle w:val="Compact"/>
        <w:numPr>
          <w:numId w:val="1039"/>
          <w:ilvl w:val="0"/>
        </w:numPr>
      </w:pPr>
      <w:r>
        <w:t xml:space="preserve">April</w:t>
      </w:r>
    </w:p>
    <w:p>
      <w:pPr>
        <w:pStyle w:val="Compact"/>
        <w:numPr>
          <w:numId w:val="1039"/>
          <w:ilvl w:val="0"/>
        </w:numPr>
      </w:pPr>
      <w:r>
        <w:t xml:space="preserve">May</w:t>
      </w:r>
    </w:p>
    <w:p>
      <w:pPr>
        <w:pStyle w:val="Compact"/>
        <w:numPr>
          <w:numId w:val="1039"/>
          <w:ilvl w:val="0"/>
        </w:numPr>
      </w:pPr>
      <w:r>
        <w:t xml:space="preserve">June</w:t>
      </w:r>
    </w:p>
    <w:p>
      <w:pPr>
        <w:pStyle w:val="Compact"/>
        <w:numPr>
          <w:numId w:val="1039"/>
          <w:ilvl w:val="0"/>
        </w:numPr>
      </w:pPr>
      <w:r>
        <w:t xml:space="preserve">July</w:t>
      </w:r>
    </w:p>
    <w:p>
      <w:pPr>
        <w:pStyle w:val="Compact"/>
        <w:numPr>
          <w:numId w:val="1039"/>
          <w:ilvl w:val="0"/>
        </w:numPr>
      </w:pPr>
      <w:r>
        <w:t xml:space="preserve">August</w:t>
      </w:r>
    </w:p>
    <w:p>
      <w:pPr>
        <w:pStyle w:val="Compact"/>
        <w:numPr>
          <w:numId w:val="1039"/>
          <w:ilvl w:val="0"/>
        </w:numPr>
      </w:pPr>
      <w:r>
        <w:t xml:space="preserve">September</w:t>
      </w:r>
    </w:p>
    <w:p>
      <w:pPr>
        <w:pStyle w:val="Compact"/>
        <w:numPr>
          <w:numId w:val="1039"/>
          <w:ilvl w:val="0"/>
        </w:numPr>
      </w:pPr>
      <w:r>
        <w:t xml:space="preserve">October</w:t>
      </w:r>
    </w:p>
    <w:p>
      <w:pPr>
        <w:pStyle w:val="Compact"/>
        <w:numPr>
          <w:numId w:val="1039"/>
          <w:ilvl w:val="0"/>
        </w:numPr>
      </w:pPr>
      <w:r>
        <w:t xml:space="preserve">November</w:t>
      </w:r>
    </w:p>
    <w:p>
      <w:pPr>
        <w:pStyle w:val="Compact"/>
        <w:numPr>
          <w:numId w:val="1039"/>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40479" cy="2945330"/>
            <wp:effectExtent b="0" l="0" r="0" t="0"/>
            <wp:docPr descr="Alaria"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7"/>
                    <a:stretch>
                      <a:fillRect/>
                    </a:stretch>
                  </pic:blipFill>
                  <pic:spPr bwMode="auto">
                    <a:xfrm>
                      <a:off x="0" y="0"/>
                      <a:ext cx="3840479" cy="294533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8" w:name="matrixpopulation"/>
      <w:bookmarkEnd w:id="108"/>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9" w:name="geolocation-columns"/>
      <w:bookmarkEnd w:id="109"/>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10" w:name="latdeg-latmin-latsec"/>
      <w:bookmarkEnd w:id="110"/>
      <w:r>
        <w:t xml:space="preserve">LatDeg / LatMin / LatSec</w:t>
      </w:r>
    </w:p>
    <w:p>
      <w:pPr>
        <w:pStyle w:val="FirstParagraph"/>
      </w:pPr>
      <w:r>
        <w:t xml:space="preserve">Record the degree (0-90), minute (0-60) and second (0-60) values of the locations of the matrix.</w:t>
      </w:r>
      <w:r>
        <w:t xml:space="preserve"> </w:t>
      </w:r>
      <w:r>
        <w:t xml:space="preserve">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11" w:name="latns"/>
      <w:bookmarkEnd w:id="111"/>
      <w:r>
        <w:t xml:space="preserve">LatNS</w:t>
      </w:r>
    </w:p>
    <w:p>
      <w:pPr>
        <w:pStyle w:val="FirstParagraph"/>
      </w:pPr>
      <w:r>
        <w:t xml:space="preserve">Cardinal direction</w:t>
      </w:r>
    </w:p>
    <w:p>
      <w:pPr>
        <w:pStyle w:val="Compact"/>
        <w:numPr>
          <w:numId w:val="1040"/>
          <w:ilvl w:val="0"/>
        </w:numPr>
      </w:pPr>
      <w:r>
        <w:t xml:space="preserve">N - North</w:t>
      </w:r>
    </w:p>
    <w:p>
      <w:pPr>
        <w:pStyle w:val="Compact"/>
        <w:numPr>
          <w:numId w:val="1040"/>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12" w:name="londeg-lonmin-lonsec"/>
      <w:bookmarkEnd w:id="112"/>
      <w:r>
        <w:t xml:space="preserve">LonDeg / LonMin / LonSec</w:t>
      </w:r>
    </w:p>
    <w:p>
      <w:pPr>
        <w:pStyle w:val="FirstParagraph"/>
      </w:pPr>
      <w:r>
        <w:t xml:space="preserve">Records the degree (0-90), minute (0-60) and second (0-60) values of the locations of the matrix.</w:t>
      </w:r>
    </w:p>
    <w:p>
      <w:pPr>
        <w:pStyle w:val="Heading3"/>
      </w:pPr>
      <w:bookmarkStart w:id="113" w:name="lonwe"/>
      <w:bookmarkEnd w:id="113"/>
      <w:r>
        <w:t xml:space="preserve">LonWE</w:t>
      </w:r>
    </w:p>
    <w:p>
      <w:pPr>
        <w:pStyle w:val="FirstParagraph"/>
      </w:pPr>
      <w:r>
        <w:t xml:space="preserve">Cardinal direction</w:t>
      </w:r>
    </w:p>
    <w:p>
      <w:pPr>
        <w:pStyle w:val="Compact"/>
        <w:numPr>
          <w:numId w:val="1041"/>
          <w:ilvl w:val="0"/>
        </w:numPr>
      </w:pPr>
      <w:r>
        <w:t xml:space="preserve">W - West</w:t>
      </w:r>
    </w:p>
    <w:p>
      <w:pPr>
        <w:pStyle w:val="Compact"/>
        <w:numPr>
          <w:numId w:val="1041"/>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BodyText"/>
      </w:pPr>
      <w:r>
        <w:t xml:space="preserve">The following link is useful for converting between different ways of presenting lat/long information:</w:t>
      </w:r>
      <w:r>
        <w:t xml:space="preserve"> </w:t>
      </w:r>
      <w:hyperlink r:id="rId114">
        <w:r>
          <w:rPr>
            <w:rStyle w:val="Hyperlink"/>
          </w:rPr>
          <w:t xml:space="preserve">http://www.earthpoint.us/Convert.aspx</w:t>
        </w:r>
      </w:hyperlink>
    </w:p>
    <w:p>
      <w:pPr>
        <w:pStyle w:val="Heading3"/>
      </w:pPr>
      <w:bookmarkStart w:id="115" w:name="altitude"/>
      <w:bookmarkEnd w:id="115"/>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67384"/>
            <wp:effectExtent b="0" l="0" r="0" t="0"/>
            <wp:docPr descr="Altitude" id="1" name="Picture"/>
            <a:graphic>
              <a:graphicData uri="http://schemas.openxmlformats.org/drawingml/2006/picture">
                <pic:pic>
                  <pic:nvPicPr>
                    <pic:cNvPr descr="images/Altitude.png" id="0" name="Picture"/>
                    <pic:cNvPicPr>
                      <a:picLocks noChangeArrowheads="1" noChangeAspect="1"/>
                    </pic:cNvPicPr>
                  </pic:nvPicPr>
                  <pic:blipFill>
                    <a:blip r:embed="rId116"/>
                    <a:stretch>
                      <a:fillRect/>
                    </a:stretch>
                  </pic:blipFill>
                  <pic:spPr bwMode="auto">
                    <a:xfrm>
                      <a:off x="0" y="0"/>
                      <a:ext cx="5334000" cy="2267384"/>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17" w:name="country"/>
      <w:bookmarkEnd w:id="117"/>
      <w:r>
        <w:t xml:space="preserve">Country</w:t>
      </w:r>
    </w:p>
    <w:p>
      <w:pPr>
        <w:pStyle w:val="FirstParagraph"/>
      </w:pPr>
      <w:r>
        <w:t xml:space="preserve">The ISO 3 Country Code(s) of where the study took place. If the study involves multiple countries, these are separated by "; ".</w:t>
      </w:r>
      <w:r>
        <w:t xml:space="preserve"> </w:t>
      </w:r>
      <w:hyperlink r:id="rId118">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9" w:name="continent"/>
      <w:bookmarkEnd w:id="119"/>
      <w:r>
        <w:t xml:space="preserve">Continent</w:t>
      </w:r>
    </w:p>
    <w:p>
      <w:pPr>
        <w:pStyle w:val="FirstParagraph"/>
      </w:pPr>
      <w:r>
        <w:t xml:space="preserve">Continent where study took place</w:t>
      </w:r>
    </w:p>
    <w:p>
      <w:pPr>
        <w:pStyle w:val="Compact"/>
        <w:numPr>
          <w:numId w:val="1042"/>
          <w:ilvl w:val="0"/>
        </w:numPr>
      </w:pPr>
      <w:r>
        <w:t xml:space="preserve">Africa</w:t>
      </w:r>
    </w:p>
    <w:p>
      <w:pPr>
        <w:pStyle w:val="Compact"/>
        <w:numPr>
          <w:numId w:val="1042"/>
          <w:ilvl w:val="0"/>
        </w:numPr>
      </w:pPr>
      <w:r>
        <w:t xml:space="preserve">Asia</w:t>
      </w:r>
    </w:p>
    <w:p>
      <w:pPr>
        <w:pStyle w:val="Compact"/>
        <w:numPr>
          <w:numId w:val="1042"/>
          <w:ilvl w:val="0"/>
        </w:numPr>
      </w:pPr>
      <w:r>
        <w:t xml:space="preserve">Europe</w:t>
      </w:r>
    </w:p>
    <w:p>
      <w:pPr>
        <w:pStyle w:val="Compact"/>
        <w:numPr>
          <w:numId w:val="1042"/>
          <w:ilvl w:val="0"/>
        </w:numPr>
      </w:pPr>
      <w:r>
        <w:t xml:space="preserve">N America (includes Canada, USA and Mexico)</w:t>
      </w:r>
    </w:p>
    <w:p>
      <w:pPr>
        <w:pStyle w:val="Compact"/>
        <w:numPr>
          <w:numId w:val="1042"/>
          <w:ilvl w:val="0"/>
        </w:numPr>
      </w:pPr>
      <w:r>
        <w:t xml:space="preserve">S America (incluces the rest of the countries in the Americas not outlined in "N America")</w:t>
      </w:r>
    </w:p>
    <w:p>
      <w:pPr>
        <w:pStyle w:val="Compact"/>
        <w:numPr>
          <w:numId w:val="1042"/>
          <w:ilvl w:val="0"/>
        </w:numPr>
      </w:pPr>
      <w:r>
        <w:t xml:space="preserve">Antarctica</w:t>
      </w:r>
    </w:p>
    <w:p>
      <w:pPr>
        <w:pStyle w:val="Compact"/>
        <w:numPr>
          <w:numId w:val="1042"/>
          <w:ilvl w:val="0"/>
        </w:numPr>
      </w:pPr>
      <w:r>
        <w:t xml:space="preserve">Oceania (various definitions for Oceania exist, but here we opted for this one:</w:t>
      </w:r>
      <w:r>
        <w:t xml:space="preserve"> </w:t>
      </w:r>
      <w:hyperlink r:id="rId120">
        <w:r>
          <w:rPr>
            <w:rStyle w:val="Hyperlink"/>
          </w:rPr>
          <w:t xml:space="preserve">https://en.wikipedia.org/wiki/List_of_Oceanian_countries_by_population</w:t>
        </w:r>
      </w:hyperlink>
      <w:r>
        <w:t xml:space="preserve">)</w:t>
      </w:r>
    </w:p>
    <w:p>
      <w:pPr>
        <w:pStyle w:val="Heading3"/>
      </w:pPr>
      <w:bookmarkStart w:id="121" w:name="general-notes-on-location-information"/>
      <w:bookmarkEnd w:id="121"/>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705726" cy="2348564"/>
            <wp:effectExtent b="0" l="0" r="0" t="0"/>
            <wp:docPr descr="Geolocation" id="1" name="Picture"/>
            <a:graphic>
              <a:graphicData uri="http://schemas.openxmlformats.org/drawingml/2006/picture">
                <pic:pic>
                  <pic:nvPicPr>
                    <pic:cNvPr descr="images/Alaria_location.png" id="0" name="Picture"/>
                    <pic:cNvPicPr>
                      <a:picLocks noChangeArrowheads="1" noChangeAspect="1"/>
                    </pic:cNvPicPr>
                  </pic:nvPicPr>
                  <pic:blipFill>
                    <a:blip r:embed="rId122"/>
                    <a:stretch>
                      <a:fillRect/>
                    </a:stretch>
                  </pic:blipFill>
                  <pic:spPr bwMode="auto">
                    <a:xfrm>
                      <a:off x="0" y="0"/>
                      <a:ext cx="3705726" cy="2348564"/>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23" w:name="matrixsplit"/>
      <w:bookmarkEnd w:id="123"/>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43"/>
          <w:ilvl w:val="0"/>
        </w:numPr>
      </w:pPr>
      <w:r>
        <w:t xml:space="preserve">Divided - The matrix population model A has successfully been divided into the process-based sub matrices U, F and C.</w:t>
      </w:r>
    </w:p>
    <w:p>
      <w:pPr>
        <w:pStyle w:val="Compact"/>
        <w:numPr>
          <w:numId w:val="1043"/>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30625"/>
            <wp:effectExtent b="0" l="0" r="0" t="0"/>
            <wp:docPr descr="Splitting" id="1" name="Picture"/>
            <a:graphic>
              <a:graphicData uri="http://schemas.openxmlformats.org/drawingml/2006/picture">
                <pic:pic>
                  <pic:nvPicPr>
                    <pic:cNvPr descr="images/Alaria-a_AUFC.png" id="0" name="Picture"/>
                    <pic:cNvPicPr>
                      <a:picLocks noChangeArrowheads="1" noChangeAspect="1"/>
                    </pic:cNvPicPr>
                  </pic:nvPicPr>
                  <pic:blipFill>
                    <a:blip r:embed="rId124"/>
                    <a:stretch>
                      <a:fillRect/>
                    </a:stretch>
                  </pic:blipFill>
                  <pic:spPr bwMode="auto">
                    <a:xfrm>
                      <a:off x="0" y="0"/>
                      <a:ext cx="5334000" cy="1130625"/>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4602" cy="1540042"/>
            <wp:effectExtent b="0" l="0" r="0" t="0"/>
            <wp:docPr descr="Splitting" id="1" name="Picture"/>
            <a:graphic>
              <a:graphicData uri="http://schemas.openxmlformats.org/drawingml/2006/picture">
                <pic:pic>
                  <pic:nvPicPr>
                    <pic:cNvPr descr="images/Syngonanthus_AUFC.png" id="0" name="Picture"/>
                    <pic:cNvPicPr>
                      <a:picLocks noChangeArrowheads="1" noChangeAspect="1"/>
                    </pic:cNvPicPr>
                  </pic:nvPicPr>
                  <pic:blipFill>
                    <a:blip r:embed="rId125"/>
                    <a:stretch>
                      <a:fillRect/>
                    </a:stretch>
                  </pic:blipFill>
                  <pic:spPr bwMode="auto">
                    <a:xfrm>
                      <a:off x="0" y="0"/>
                      <a:ext cx="3734602" cy="1540042"/>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8966"/>
            <wp:effectExtent b="0" l="0" r="0" t="0"/>
            <wp:docPr descr="Life cycle" id="1" name="Picture"/>
            <a:graphic>
              <a:graphicData uri="http://schemas.openxmlformats.org/drawingml/2006/picture">
                <pic:pic>
                  <pic:nvPicPr>
                    <pic:cNvPr descr="images/Lifecycle_AUFC.png" id="0" name="Picture"/>
                    <pic:cNvPicPr>
                      <a:picLocks noChangeArrowheads="1" noChangeAspect="1"/>
                    </pic:cNvPicPr>
                  </pic:nvPicPr>
                  <pic:blipFill>
                    <a:blip r:embed="rId126"/>
                    <a:stretch>
                      <a:fillRect/>
                    </a:stretch>
                  </pic:blipFill>
                  <pic:spPr bwMode="auto">
                    <a:xfrm>
                      <a:off x="0" y="0"/>
                      <a:ext cx="5334000" cy="7548966"/>
                    </a:xfrm>
                    <a:prstGeom prst="rect">
                      <a:avLst/>
                    </a:prstGeom>
                    <a:noFill/>
                    <a:ln w="9525">
                      <a:noFill/>
                      <a:headEnd/>
                      <a:tailEnd/>
                    </a:ln>
                  </pic:spPr>
                </pic:pic>
              </a:graphicData>
            </a:graphic>
          </wp:inline>
        </w:drawing>
      </w:r>
      <w:r>
        <w:t xml:space="preserve"> </w:t>
      </w:r>
      <w:r>
        <w:t xml:space="preserve">************************************************</w:t>
      </w:r>
      <w:r>
        <w:t xml:space="preserve"> </w:t>
      </w:r>
      <w:r>
        <w:t xml:space="preserve">## MatrixFec</w:t>
      </w:r>
    </w:p>
    <w:p>
      <w:pPr>
        <w:pStyle w:val="BodyText"/>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4"/>
          <w:ilvl w:val="0"/>
        </w:numPr>
      </w:pPr>
      <w:r>
        <w:t xml:space="preserve">Yes - fecundity was measured for the matrix</w:t>
      </w:r>
    </w:p>
    <w:p>
      <w:pPr>
        <w:pStyle w:val="Compact"/>
        <w:numPr>
          <w:numId w:val="1044"/>
          <w:ilvl w:val="0"/>
        </w:numPr>
      </w:pPr>
      <w:r>
        <w:t xml:space="preserve">No - fecundity was not measured for the matrix</w:t>
      </w:r>
    </w:p>
    <w:p>
      <w:pPr>
        <w:pStyle w:val="Compact"/>
        <w:numPr>
          <w:numId w:val="1044"/>
          <w:ilvl w:val="0"/>
        </w:numPr>
      </w:pPr>
      <w:r>
        <w:t xml:space="preserve">NA - it is not known whether fecundity was measured for the matrix</w:t>
      </w:r>
    </w:p>
    <w:p>
      <w:r>
        <w:pict>
          <v:rect style="width:0;height:1.5pt" o:hralign="center" o:hrstd="t" o:hr="t"/>
        </w:pict>
      </w:r>
    </w:p>
    <w:p>
      <w:pPr>
        <w:pStyle w:val="Heading2"/>
      </w:pPr>
      <w:bookmarkStart w:id="127" w:name="observation"/>
      <w:bookmarkEnd w:id="127"/>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5"/>
          <w:ilvl w:val="0"/>
        </w:numPr>
      </w:pPr>
      <w:r>
        <w:t xml:space="preserve">The GPS coordinates were approximated to the closest geographic location described in the reference. (see Geolocation)</w:t>
      </w:r>
    </w:p>
    <w:p>
      <w:pPr>
        <w:pStyle w:val="Compact"/>
        <w:numPr>
          <w:numId w:val="1045"/>
          <w:ilvl w:val="0"/>
        </w:numPr>
      </w:pPr>
      <w:r>
        <w:t xml:space="preserve">GPS co-ordinates cited exactly as reported in original paper. These do not match written study site description. (see Geolocation)</w:t>
      </w:r>
    </w:p>
    <w:p>
      <w:pPr>
        <w:pStyle w:val="Compact"/>
        <w:numPr>
          <w:numId w:val="1045"/>
          <w:ilvl w:val="0"/>
        </w:numPr>
      </w:pPr>
      <w:r>
        <w:t xml:space="preserve">Geolocation / Altitude from descriptor: (if no matrices are enters yet but a geolocation information are available)</w:t>
      </w:r>
    </w:p>
    <w:p>
      <w:pPr>
        <w:pStyle w:val="Compact"/>
        <w:numPr>
          <w:numId w:val="1045"/>
          <w:ilvl w:val="0"/>
        </w:numPr>
      </w:pPr>
      <w:r>
        <w:t xml:space="preserve">Matrix is calculated with stochastic model</w:t>
      </w:r>
    </w:p>
    <w:p>
      <w:pPr>
        <w:pStyle w:val="Compact"/>
        <w:numPr>
          <w:numId w:val="1045"/>
          <w:ilvl w:val="0"/>
        </w:numPr>
      </w:pPr>
      <w:r>
        <w:t xml:space="preserve">X years since last fire</w:t>
      </w:r>
    </w:p>
    <w:p>
      <w:pPr>
        <w:pStyle w:val="Compact"/>
        <w:numPr>
          <w:numId w:val="1045"/>
          <w:ilvl w:val="0"/>
        </w:numPr>
      </w:pPr>
      <w:r>
        <w:t xml:space="preserve">Calculated with demographic data from Author JournalName YearPublished</w:t>
      </w:r>
    </w:p>
    <w:p>
      <w:pPr>
        <w:pStyle w:val="Compact"/>
        <w:numPr>
          <w:numId w:val="1045"/>
          <w:ilvl w:val="0"/>
        </w:numPr>
      </w:pPr>
      <w:r>
        <w:t xml:space="preserve">Data is from a greenhouse experiment</w:t>
      </w:r>
    </w:p>
    <w:p>
      <w:pPr>
        <w:pStyle w:val="Compact"/>
        <w:numPr>
          <w:numId w:val="1045"/>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8" w:name="matrixclassorganized"/>
      <w:bookmarkEnd w:id="128"/>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6"/>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6"/>
          <w:ilvl w:val="0"/>
        </w:numPr>
      </w:pPr>
      <w:r>
        <w:t xml:space="preserve">active - This includes stages that can neither be placed in the “prop” nor “dorm” (see below) stages.</w:t>
      </w:r>
    </w:p>
    <w:p>
      <w:pPr>
        <w:pStyle w:val="Compact"/>
        <w:numPr>
          <w:numId w:val="1046"/>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9" w:name="matrixclassauthor"/>
      <w:bookmarkEnd w:id="129"/>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7"/>
          <w:ilvl w:val="0"/>
        </w:numPr>
      </w:pPr>
      <w:r>
        <w:t xml:space="preserve">First letter must be a capital letter (e.g. Adult: 100-150 cm DBH)</w:t>
      </w:r>
    </w:p>
    <w:p>
      <w:pPr>
        <w:pStyle w:val="Compact"/>
        <w:numPr>
          <w:numId w:val="1047"/>
          <w:ilvl w:val="0"/>
        </w:numPr>
      </w:pPr>
      <w:r>
        <w:t xml:space="preserve">If the Author uses abbreviations first write them down, followed by a “:” and the explanation of that abbreviations</w:t>
      </w:r>
    </w:p>
    <w:p>
      <w:pPr>
        <w:pStyle w:val="Compact"/>
        <w:numPr>
          <w:numId w:val="1047"/>
          <w:ilvl w:val="0"/>
        </w:numPr>
      </w:pPr>
      <w:r>
        <w:t xml:space="preserve">Use the most detailed description</w:t>
      </w:r>
    </w:p>
    <w:p>
      <w:pPr>
        <w:pStyle w:val="Compact"/>
        <w:numPr>
          <w:numId w:val="1047"/>
          <w:ilvl w:val="0"/>
        </w:numPr>
      </w:pPr>
      <w:r>
        <w:t xml:space="preserve">Always add units (when possible) (e.g. 0-9 cm DBH, not 0-9 DBH)</w:t>
      </w:r>
    </w:p>
    <w:p>
      <w:pPr>
        <w:pStyle w:val="Compact"/>
        <w:numPr>
          <w:numId w:val="1047"/>
          <w:ilvl w:val="0"/>
        </w:numPr>
      </w:pPr>
      <w:r>
        <w:t xml:space="preserve">Be clear in what is described (e.g. 0-9 cm DBH/ height, not only 0-9 cm)</w:t>
      </w:r>
    </w:p>
    <w:p>
      <w:pPr>
        <w:pStyle w:val="Compact"/>
        <w:numPr>
          <w:numId w:val="1047"/>
          <w:ilvl w:val="0"/>
        </w:numPr>
      </w:pPr>
      <w:r>
        <w:t xml:space="preserve">Make sure that you use “.” Instead of “,” when typing numbers (e.g. 1.45 cm, not 1,45 cm)</w:t>
      </w:r>
    </w:p>
    <w:p>
      <w:pPr>
        <w:pStyle w:val="Compact"/>
        <w:numPr>
          <w:numId w:val="1047"/>
          <w:ilvl w:val="0"/>
        </w:numPr>
      </w:pPr>
      <w:r>
        <w:t xml:space="preserve">Make sure that there is space between the number and the unit (e.g. 1.45 cm, not 1.45cm)</w:t>
      </w:r>
    </w:p>
    <w:p>
      <w:pPr>
        <w:pStyle w:val="Compact"/>
        <w:numPr>
          <w:numId w:val="1047"/>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7"/>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30" w:name="matrixclassnumber"/>
      <w:bookmarkEnd w:id="130"/>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t>n</m:t>
        </m:r>
      </m:oMath>
      <w:r>
        <w:t xml:space="preserve">, where</w:t>
      </w:r>
      <w:r>
        <w:t xml:space="preserve"> </w:t>
      </w:r>
      <m:oMath>
        <m:r>
          <m:t>n</m:t>
        </m:r>
      </m:oMath>
      <w:r>
        <w:t xml:space="preserve"> </w:t>
      </w:r>
      <w:r>
        <w:t xml:space="preserve">is the dimension of the population matrix.</w:t>
      </w:r>
    </w:p>
    <w:p>
      <w:r>
        <w:pict>
          <v:rect style="width:0;height:1.5pt" o:hralign="center" o:hrstd="t" o:hr="t"/>
        </w:pict>
      </w:r>
    </w:p>
    <w:p>
      <w:pPr>
        <w:pStyle w:val="Heading2"/>
      </w:pPr>
      <w:bookmarkStart w:id="131" w:name="matumatfmatc"/>
      <w:bookmarkEnd w:id="131"/>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8"/>
          <w:ilvl w:val="0"/>
        </w:numPr>
      </w:pPr>
      <w:r>
        <w:t xml:space="preserve">The A matrix - Transition probabilities are constrained between 0 and 1. Reproductive values are always positive but have no upper bound.</w:t>
      </w:r>
    </w:p>
    <w:p>
      <w:pPr>
        <w:numPr>
          <w:numId w:val="1048"/>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8"/>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8"/>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32" w:name="color-coding"/>
      <w:bookmarkEnd w:id="132"/>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5136" cy="2387065"/>
            <wp:effectExtent b="0" l="0" r="0" t="0"/>
            <wp:docPr descr="Unique" id="1" name="Picture"/>
            <a:graphic>
              <a:graphicData uri="http://schemas.openxmlformats.org/drawingml/2006/picture">
                <pic:pic>
                  <pic:nvPicPr>
                    <pic:cNvPr descr="images/color1.png" id="0" name="Picture"/>
                    <pic:cNvPicPr>
                      <a:picLocks noChangeArrowheads="1" noChangeAspect="1"/>
                    </pic:cNvPicPr>
                  </pic:nvPicPr>
                  <pic:blipFill>
                    <a:blip r:embed="rId133"/>
                    <a:stretch>
                      <a:fillRect/>
                    </a:stretch>
                  </pic:blipFill>
                  <pic:spPr bwMode="auto">
                    <a:xfrm>
                      <a:off x="0" y="0"/>
                      <a:ext cx="5005136" cy="2387065"/>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9403"/>
            <wp:effectExtent b="0" l="0" r="0" t="0"/>
            <wp:docPr descr="Mixed" id="1" name="Picture"/>
            <a:graphic>
              <a:graphicData uri="http://schemas.openxmlformats.org/drawingml/2006/picture">
                <pic:pic>
                  <pic:nvPicPr>
                    <pic:cNvPr descr="images/color2.png" id="0" name="Picture"/>
                    <pic:cNvPicPr>
                      <a:picLocks noChangeArrowheads="1" noChangeAspect="1"/>
                    </pic:cNvPicPr>
                  </pic:nvPicPr>
                  <pic:blipFill>
                    <a:blip r:embed="rId134"/>
                    <a:stretch>
                      <a:fillRect/>
                    </a:stretch>
                  </pic:blipFill>
                  <pic:spPr bwMode="auto">
                    <a:xfrm>
                      <a:off x="0" y="0"/>
                      <a:ext cx="5334000" cy="909403"/>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9038"/>
            <wp:effectExtent b="0" l="0" r="0" t="0"/>
            <wp:docPr descr="Other" id="1" name="Picture"/>
            <a:graphic>
              <a:graphicData uri="http://schemas.openxmlformats.org/drawingml/2006/picture">
                <pic:pic>
                  <pic:nvPicPr>
                    <pic:cNvPr descr="images/color3.png" id="0" name="Picture"/>
                    <pic:cNvPicPr>
                      <a:picLocks noChangeArrowheads="1" noChangeAspect="1"/>
                    </pic:cNvPicPr>
                  </pic:nvPicPr>
                  <pic:blipFill>
                    <a:blip r:embed="rId135"/>
                    <a:stretch>
                      <a:fillRect/>
                    </a:stretch>
                  </pic:blipFill>
                  <pic:spPr bwMode="auto">
                    <a:xfrm>
                      <a:off x="0" y="0"/>
                      <a:ext cx="5334000" cy="1099038"/>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t>a</m:t>
            </m:r>
          </m:e>
          <m:sub>
            <m:r>
              <m:t>i</m:t>
            </m:r>
            <m:r>
              <m:t>j</m:t>
            </m:r>
          </m:sub>
        </m:sSub>
        <m:r>
          <m:t>&gt;</m:t>
        </m:r>
        <m: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7737"/>
            <wp:effectExtent b="0" l="0" r="0" t="0"/>
            <wp:docPr descr="Example" id="1" name="Picture"/>
            <a:graphic>
              <a:graphicData uri="http://schemas.openxmlformats.org/drawingml/2006/picture">
                <pic:pic>
                  <pic:nvPicPr>
                    <pic:cNvPr descr="images/color_example.png" id="0" name="Picture"/>
                    <pic:cNvPicPr>
                      <a:picLocks noChangeArrowheads="1" noChangeAspect="1"/>
                    </pic:cNvPicPr>
                  </pic:nvPicPr>
                  <pic:blipFill>
                    <a:blip r:embed="rId136"/>
                    <a:stretch>
                      <a:fillRect/>
                    </a:stretch>
                  </pic:blipFill>
                  <pic:spPr bwMode="auto">
                    <a:xfrm>
                      <a:off x="0" y="0"/>
                      <a:ext cx="5334000" cy="2147737"/>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ed820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4bf04c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323521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4" Target="media/rId124.png" /><Relationship Type="http://schemas.openxmlformats.org/officeDocument/2006/relationships/image" Id="rId122" Target="media/rId122.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126" Target="media/rId126.png" /><Relationship Type="http://schemas.openxmlformats.org/officeDocument/2006/relationships/image" Id="rId97" Target="media/rId97.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125" Target="media/rId125.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hyperlink" Id="rId36" Target="File:__" TargetMode="External" /><Relationship Type="http://schemas.openxmlformats.org/officeDocument/2006/relationships/hyperlink" Id="rId69" Target="http://dx.doi.org/" TargetMode="External" /><Relationship Type="http://schemas.openxmlformats.org/officeDocument/2006/relationships/hyperlink" Id="rId70" Target="http://dx.doi.org/10.1111/1365-2745.12334" TargetMode="External" /><Relationship Type="http://schemas.openxmlformats.org/officeDocument/2006/relationships/hyperlink" Id="rId61" Target="http://images.webofknowledge.com/WOK46/help/WOS/A_abrvjt.html" TargetMode="External" /><Relationship Type="http://schemas.openxmlformats.org/officeDocument/2006/relationships/hyperlink" Id="rId75" Target="http://worldwildlife.org/biomes" TargetMode="External" /><Relationship Type="http://schemas.openxmlformats.org/officeDocument/2006/relationships/hyperlink" Id="rId57" Target="http://www.algaebase.org" TargetMode="External" /><Relationship Type="http://schemas.openxmlformats.org/officeDocument/2006/relationships/hyperlink" Id="rId26" Target="http://www.catalogueoflife.org/" TargetMode="External" /><Relationship Type="http://schemas.openxmlformats.org/officeDocument/2006/relationships/hyperlink" Id="rId56" Target="http://www.catalogueoflife.org/col/" TargetMode="External" /><Relationship Type="http://schemas.openxmlformats.org/officeDocument/2006/relationships/hyperlink" Id="rId114" Target="http://www.earthpoint.us/Convert.aspx" TargetMode="External" /><Relationship Type="http://schemas.openxmlformats.org/officeDocument/2006/relationships/hyperlink" Id="rId27" Target="http://www.iplantcollaborative.org/" TargetMode="External" /><Relationship Type="http://schemas.openxmlformats.org/officeDocument/2006/relationships/hyperlink" Id="rId55"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8" Target="https://en.wikipedia.org/wiki/ISO_3166-1_alpha-3" TargetMode="External" /><Relationship Type="http://schemas.openxmlformats.org/officeDocument/2006/relationships/hyperlink" Id="rId120"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9" Target="http://dx.doi.org/" TargetMode="External" /><Relationship Type="http://schemas.openxmlformats.org/officeDocument/2006/relationships/hyperlink" Id="rId70" Target="http://dx.doi.org/10.1111/1365-2745.12334" TargetMode="External" /><Relationship Type="http://schemas.openxmlformats.org/officeDocument/2006/relationships/hyperlink" Id="rId61" Target="http://images.webofknowledge.com/WOK46/help/WOS/A_abrvjt.html" TargetMode="External" /><Relationship Type="http://schemas.openxmlformats.org/officeDocument/2006/relationships/hyperlink" Id="rId75" Target="http://worldwildlife.org/biomes" TargetMode="External" /><Relationship Type="http://schemas.openxmlformats.org/officeDocument/2006/relationships/hyperlink" Id="rId57" Target="http://www.algaebase.org" TargetMode="External" /><Relationship Type="http://schemas.openxmlformats.org/officeDocument/2006/relationships/hyperlink" Id="rId26" Target="http://www.catalogueoflife.org/" TargetMode="External" /><Relationship Type="http://schemas.openxmlformats.org/officeDocument/2006/relationships/hyperlink" Id="rId56" Target="http://www.catalogueoflife.org/col/" TargetMode="External" /><Relationship Type="http://schemas.openxmlformats.org/officeDocument/2006/relationships/hyperlink" Id="rId114" Target="http://www.earthpoint.us/Convert.aspx" TargetMode="External" /><Relationship Type="http://schemas.openxmlformats.org/officeDocument/2006/relationships/hyperlink" Id="rId27" Target="http://www.iplantcollaborative.org/" TargetMode="External" /><Relationship Type="http://schemas.openxmlformats.org/officeDocument/2006/relationships/hyperlink" Id="rId55"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8" Target="https://en.wikipedia.org/wiki/ISO_3166-1_alpha-3" TargetMode="External" /><Relationship Type="http://schemas.openxmlformats.org/officeDocument/2006/relationships/hyperlink" Id="rId120"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dcterms:created xsi:type="dcterms:W3CDTF">2017-02-07T14:27:41Z</dcterms:created>
  <dcterms:modified xsi:type="dcterms:W3CDTF">2017-02-07T14:27:41Z</dcterms:modified>
</cp:coreProperties>
</file>