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595959"/>
          <w:sz w:val="24"/>
          <w:szCs w:val="24"/>
        </w:rPr>
        <w:t xml:space="preserve">WAYNE COUNTY COMMUNITY COLLEGE DISTRICT</w:t>
      </w:r>
    </w:p>
    <w:p>
      <w:pPr>
        <w:spacing w:after="240"/>
        <w:jc w:val="center"/>
      </w:pPr>
      <w:r>
        <w:rPr>
          <w:rFonts w:ascii="Calibri" w:cs="Calibri" w:eastAsia="Calibri" w:hAnsi="Calibri"/>
          <w:b/>
          <w:bCs/>
          <w:color w:val="1B5E3F"/>
          <w:sz w:val="32"/>
          <w:szCs w:val="32"/>
        </w:rPr>
        <w:t xml:space="preserve">MEMORANDUM</w:t>
      </w:r>
    </w:p>
    <w:p>
      <w:pPr>
        <w:spacing w:after="60"/>
      </w:pPr>
      <w:r>
        <w:rPr>
          <w:rFonts w:ascii="Calibri" w:cs="Calibri" w:eastAsia="Calibri" w:hAnsi="Calibri"/>
          <w:b/>
          <w:bCs/>
          <w:sz w:val="22"/>
          <w:szCs w:val="22"/>
        </w:rPr>
        <w:t xml:space="preserve">TO: </w:t>
      </w:r>
      <w:r>
        <w:rPr>
          <w:rFonts w:ascii="Calibri" w:cs="Calibri" w:eastAsia="Calibri" w:hAnsi="Calibri"/>
          <w:sz w:val="22"/>
          <w:szCs w:val="22"/>
        </w:rPr>
        <w:t xml:space="preserve">Chancellor’s Cabinet</w:t>
      </w:r>
    </w:p>
    <w:p>
      <w:pPr>
        <w:spacing w:after="60"/>
      </w:pPr>
      <w:r>
        <w:rPr>
          <w:rFonts w:ascii="Calibri" w:cs="Calibri" w:eastAsia="Calibri" w:hAnsi="Calibri"/>
          <w:b/>
          <w:bCs/>
          <w:sz w:val="22"/>
          <w:szCs w:val="22"/>
        </w:rPr>
        <w:t xml:space="preserve">FROM: </w:t>
      </w:r>
      <w:r>
        <w:rPr>
          <w:rFonts w:ascii="Calibri" w:cs="Calibri" w:eastAsia="Calibri" w:hAnsi="Calibri"/>
          <w:sz w:val="22"/>
          <w:szCs w:val="22"/>
        </w:rPr>
        <w:t xml:space="preserve">[Name, Title]</w:t>
      </w:r>
    </w:p>
    <w:p>
      <w:pPr>
        <w:spacing w:after="60"/>
      </w:pPr>
      <w:r>
        <w:rPr>
          <w:rFonts w:ascii="Calibri" w:cs="Calibri" w:eastAsia="Calibri" w:hAnsi="Calibri"/>
          <w:b/>
          <w:bCs/>
          <w:sz w:val="22"/>
          <w:szCs w:val="22"/>
        </w:rPr>
        <w:t xml:space="preserve">DATE: </w:t>
      </w:r>
      <w:r>
        <w:rPr>
          <w:rFonts w:ascii="Calibri" w:cs="Calibri" w:eastAsia="Calibri" w:hAnsi="Calibri"/>
          <w:sz w:val="22"/>
          <w:szCs w:val="22"/>
        </w:rPr>
        <w:t xml:space="preserve">August 2026</w:t>
      </w:r>
    </w:p>
    <w:p>
      <w:pPr>
        <w:spacing w:after="60"/>
      </w:pPr>
      <w:r>
        <w:rPr>
          <w:rFonts w:ascii="Calibri" w:cs="Calibri" w:eastAsia="Calibri" w:hAnsi="Calibri"/>
          <w:b/>
          <w:bCs/>
          <w:sz w:val="22"/>
          <w:szCs w:val="22"/>
        </w:rPr>
        <w:t xml:space="preserve">RE: </w:t>
      </w:r>
      <w:r>
        <w:rPr>
          <w:rFonts w:ascii="Calibri" w:cs="Calibri" w:eastAsia="Calibri" w:hAnsi="Calibri"/>
          <w:sz w:val="22"/>
          <w:szCs w:val="22"/>
        </w:rPr>
        <w:t xml:space="preserve">The WCCCD AI Adoption Framework — introduction, status, and a working proof of concept</w:t>
      </w:r>
    </w:p>
    <w:p>
      <w:pPr>
        <w:pBdr>
          <w:bottom w:val="single" w:color="1B5E3F" w:sz="8"/>
        </w:pBdr>
        <w:spacing w:after="200" w:before="120"/>
      </w:pPr>
    </w:p>
    <w:p>
      <w:pPr>
        <w:spacing w:after="160" w:line="276"/>
      </w:pPr>
      <w:r>
        <w:rPr>
          <w:rFonts w:ascii="Calibri" w:cs="Calibri" w:eastAsia="Calibri" w:hAnsi="Calibri"/>
          <w:sz w:val="22"/>
          <w:szCs w:val="22"/>
        </w:rPr>
        <w:t xml:space="preserve">Action Priority 3 of the Chancellor’s 2026–2027 Action Priorities directs the District to develop an AI-driven efficiency model and policies. This memo introduces the result of that work: the draft WCCCD AI Adoption Framework, the District’s plan for adopting artificial intelligence deliberately. The framework rests on two foundations — it is built on the Chancellor’s strategic priorities, and it is grounded in validated national research. The memo closes with a working proof of concept that shows what the framework produces in practice.</w:t>
      </w:r>
    </w:p>
    <w:p>
      <w:pPr>
        <w:pStyle w:val="Heading1"/>
        <w:spacing w:after="140" w:before="280"/>
      </w:pPr>
      <w:r>
        <w:rPr>
          <w:rFonts w:ascii="Calibri" w:cs="Calibri" w:eastAsia="Calibri" w:hAnsi="Calibri"/>
          <w:b/>
          <w:bCs/>
          <w:color w:val="1B5E3F"/>
          <w:sz w:val="28"/>
          <w:szCs w:val="28"/>
        </w:rPr>
        <w:t xml:space="preserve">1. Built on the Chancellor’s strategic priorities</w:t>
      </w:r>
    </w:p>
    <w:p>
      <w:pPr>
        <w:spacing w:after="140"/>
      </w:pPr>
      <w:r>
        <w:rPr>
          <w:rFonts w:ascii="Calibri" w:cs="Calibri" w:eastAsia="Calibri" w:hAnsi="Calibri"/>
          <w:i/>
          <w:iCs/>
          <w:color w:val="595959"/>
          <w:sz w:val="19"/>
          <w:szCs w:val="19"/>
        </w:rPr>
        <w:t xml:space="preserve">Source: </w:t>
      </w:r>
      <w:hyperlink w:history="1" r:id="rIdkpvopa7axqwmefvgzodnm">
        <w:r>
          <w:rPr>
            <w:rFonts w:ascii="Calibri" w:cs="Calibri" w:eastAsia="Calibri" w:hAnsi="Calibri"/>
            <w:i/>
            <w:iCs/>
            <w:color w:val="1e3a5f"/>
            <w:sz w:val="19"/>
            <w:szCs w:val="19"/>
            <w:u w:val="single"/>
          </w:rPr>
          <w:t xml:space="preserve">Chancellor’s 2026–2027 Action Priorities (wcccd.edu)</w:t>
        </w:r>
      </w:hyperlink>
    </w:p>
    <w:p>
      <w:pPr>
        <w:spacing w:after="160" w:line="276"/>
      </w:pPr>
      <w:r>
        <w:rPr>
          <w:rFonts w:ascii="Calibri" w:cs="Calibri" w:eastAsia="Calibri" w:hAnsi="Calibri"/>
          <w:sz w:val="22"/>
          <w:szCs w:val="22"/>
        </w:rPr>
        <w:t xml:space="preserve">The framework is organized around the twelve Action Priorities rather than around the technology. Every AI use case in the District must trace to one of the twelve priorities and name the outcome it serves — an enrollment, completion, service, or efficiency result — before any tool is considered. Priority 3 supplies the mandate; the other eleven priorities define the work AI must serve. On that foundation the framework establishes a Steering Committee drawn from existing roles (no new positions), an interim Acceptable Use Guideline ready for issuance, a risk-tier model with one permanent line — AI does not make consequential decisions about people — standards under which District staff may build AI tools as well as buy them, capability-based governance for AI agents, and a twelve-month plan of work with the first pilot live within 90 days of launch.</w:t>
      </w:r>
    </w:p>
    <w:p>
      <w:pPr>
        <w:pStyle w:val="Heading1"/>
        <w:spacing w:after="140" w:before="280"/>
      </w:pPr>
      <w:r>
        <w:rPr>
          <w:rFonts w:ascii="Calibri" w:cs="Calibri" w:eastAsia="Calibri" w:hAnsi="Calibri"/>
          <w:b/>
          <w:bCs/>
          <w:color w:val="1B5E3F"/>
          <w:sz w:val="28"/>
          <w:szCs w:val="28"/>
        </w:rPr>
        <w:t xml:space="preserve">2. Grounded in validated national research</w:t>
      </w:r>
    </w:p>
    <w:p>
      <w:pPr>
        <w:spacing w:after="160" w:line="276"/>
      </w:pPr>
      <w:r>
        <w:rPr>
          <w:rFonts w:ascii="Calibri" w:cs="Calibri" w:eastAsia="Calibri" w:hAnsi="Calibri"/>
          <w:sz w:val="22"/>
          <w:szCs w:val="22"/>
        </w:rPr>
        <w:t xml:space="preserve">The framework is not an invention; it is an application of the strongest current guidance in higher education, adapted to WCCCD’s scale and mission. Its structure draws on Achieving the Dream’s task force report, Creating the AI-Enabled Community College — the national roadmap most directly applicable to institutions like ours, and a natural fit given the District’s 2026 ATD Leader College designation. Its risk model follows the NIST AI Risk Management Framework, the federal reference standard. Its workforce and adoption findings come from EDUCAUSE’s 2026 research — which reports that 94 percent of higher education professionals have used AI for work while only 54 percent are aware of an institutional policy governing it, the exact gap this framework closes. Every source is cited with its publication date and was verified as the most recent available edition as of August 2026.</w:t>
      </w:r>
    </w:p>
    <w:p>
      <w:pPr>
        <w:spacing w:after="160" w:line="276"/>
      </w:pPr>
      <w:r>
        <w:rPr>
          <w:rFonts w:ascii="Calibri" w:cs="Calibri" w:eastAsia="Calibri" w:hAnsi="Calibri"/>
          <w:b/>
          <w:bCs/>
          <w:sz w:val="22"/>
          <w:szCs w:val="22"/>
        </w:rPr>
        <w:t xml:space="preserve">Where we are: </w:t>
      </w:r>
      <w:r>
        <w:rPr>
          <w:rFonts w:ascii="Calibri" w:cs="Calibri" w:eastAsia="Calibri" w:hAnsi="Calibri"/>
          <w:sz w:val="22"/>
          <w:szCs w:val="22"/>
        </w:rPr>
        <w:t xml:space="preserve">the framework is a completed draft, attached to this memo. Nothing in it has been adopted; it comes to Cabinet for review, discussion, and — when Cabinet is ready — the three decisions listed in its executive summary that put it in motion.</w:t>
      </w:r>
    </w:p>
    <w:p>
      <w:pPr>
        <w:pStyle w:val="Heading1"/>
        <w:spacing w:after="140" w:before="280"/>
      </w:pPr>
      <w:r>
        <w:rPr>
          <w:rFonts w:ascii="Calibri" w:cs="Calibri" w:eastAsia="Calibri" w:hAnsi="Calibri"/>
          <w:b/>
          <w:bCs/>
          <w:color w:val="1B5E3F"/>
          <w:sz w:val="28"/>
          <w:szCs w:val="28"/>
        </w:rPr>
        <w:t xml:space="preserve">3. Proof of concept: the ENG 119 Companion</w:t>
      </w:r>
    </w:p>
    <w:p>
      <w:pPr>
        <w:spacing w:after="160" w:line="276"/>
      </w:pPr>
      <w:r>
        <w:rPr>
          <w:rFonts w:ascii="Calibri" w:cs="Calibri" w:eastAsia="Calibri" w:hAnsi="Calibri"/>
          <w:sz w:val="22"/>
          <w:szCs w:val="22"/>
        </w:rPr>
        <w:t xml:space="preserve">To test the framework’s ideas in practice, District staff used AI to generate a complete study application strictly from a course syllabus. The result is the ENG 119 Companion (English I), live now at </w:t>
      </w:r>
      <w:r>
        <w:rPr>
          <w:rFonts w:ascii="Calibri" w:cs="Calibri" w:eastAsia="Calibri" w:hAnsi="Calibri"/>
          <w:i/>
          <w:iCs/>
          <w:sz w:val="22"/>
          <w:szCs w:val="22"/>
        </w:rPr>
        <w:t xml:space="preserve">ecrutch1.github.io/Eng119</w:t>
      </w:r>
      <w:r>
        <w:rPr>
          <w:rFonts w:ascii="Calibri" w:cs="Calibri" w:eastAsia="Calibri" w:hAnsi="Calibri"/>
          <w:sz w:val="22"/>
          <w:szCs w:val="22"/>
        </w:rPr>
        <w:t xml:space="preserve">: six quiz-preparation modules and four essay-coaching modules mapped to the section’s actual syllabus, competencies, and grade weights — with drills, rewrite workshops, and mastery tracking. It is practice-only (it cannot write a student’s paper), collects no student data (progress stays on the student’s own device — no FERPA exposure, no servers, no cost), and nothing generative runs in front of students: AI did the development work once.</w:t>
      </w:r>
    </w:p>
    <w:p>
      <w:pPr>
        <w:spacing w:after="160" w:line="276"/>
      </w:pPr>
      <w:r>
        <w:rPr>
          <w:rFonts w:ascii="Calibri" w:cs="Calibri" w:eastAsia="Calibri" w:hAnsi="Calibri"/>
          <w:sz w:val="22"/>
          <w:szCs w:val="22"/>
        </w:rPr>
        <w:t xml:space="preserve">The proof of concept demonstrates two things. First, that the framework’s approach works: this is what its build standards and risk tiers produce — a high-impact tool in gateway English, among the strongest predictors of persistence and completion, at the lowest possible risk. Second, that it is repeatable: the ENG 120 (English II) companion is in process now, produced by swapping course content into the same engine. A companion for any gateway course — College Algebra, Introduction to Psychology, Anatomy and Physiology — is roughly a week of content work from a syllabus, not a software project. A supporting overview for Academic Affairs, covering faculty review, endorsement, and adoption questions, is attached. How the proof of concept lines up with the priorities the framework is built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Chancellor’s Action Priority</w:t>
            </w:r>
          </w:p>
        </w:tc>
        <w:tc>
          <w:tcPr>
            <w:tcW w:type="dxa" w:w="566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How the ENG 119 Companion serves it</w:t>
            </w:r>
          </w:p>
        </w:tc>
      </w:tr>
      <w:tr>
        <w:trPr>
          <w:cantSplit/>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Priority 3 — AI-driven efficiency model and policies</w:t>
            </w:r>
          </w:p>
        </w:tc>
        <w:tc>
          <w:tcPr>
            <w:tcW w:type="dxa" w:w="5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The framework itself is this priority’s deliverable; the companion is its first working product.</w:t>
            </w:r>
          </w:p>
        </w:tc>
      </w:tr>
      <w:tr>
        <w:trPr>
          <w:cantSplit/>
        </w:trPr>
        <w:tc>
          <w:tcPr>
            <w:tcW w:type="dxa" w:w="37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Priority 4 — Distance learning and virtual student support</w:t>
            </w:r>
          </w:p>
        </w:tc>
        <w:tc>
          <w:tcPr>
            <w:tcW w:type="dxa" w:w="56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Around-the-clock guided practice on any device, on or off campus, online or offline.</w:t>
            </w:r>
          </w:p>
        </w:tc>
      </w:tr>
      <w:tr>
        <w:trPr>
          <w:cantSplit/>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Priority 8 — High-touch, student-centered support</w:t>
            </w:r>
          </w:p>
        </w:tc>
        <w:tc>
          <w:tcPr>
            <w:tcW w:type="dxa" w:w="5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Structured practice handles repetition, so class and office-hour time can go to teaching, not drill.</w:t>
            </w:r>
          </w:p>
        </w:tc>
      </w:tr>
      <w:tr>
        <w:trPr>
          <w:cantSplit/>
        </w:trPr>
        <w:tc>
          <w:tcPr>
            <w:tcW w:type="dxa" w:w="37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Priority 9 — The Completion Agenda</w:t>
            </w:r>
          </w:p>
        </w:tc>
        <w:tc>
          <w:tcPr>
            <w:tcW w:type="dxa" w:w="56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Aimed at gateway English, one of the strongest predictors of persistence and completion.</w:t>
            </w:r>
          </w:p>
        </w:tc>
      </w:tr>
      <w:tr>
        <w:trPr>
          <w:cantSplit/>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Equity (framework guiding principle)</w:t>
            </w:r>
          </w:p>
        </w:tc>
        <w:tc>
          <w:tcPr>
            <w:tcW w:type="dxa" w:w="5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Free, no login, works offline after first load — built for students with unreliable devices or data plans.</w:t>
            </w:r>
          </w:p>
        </w:tc>
      </w:tr>
    </w:tbl>
    <w:p>
      <w:pPr>
        <w:spacing w:after="120"/>
      </w:pPr>
    </w:p>
    <w:p>
      <w:pPr>
        <w:pStyle w:val="Heading1"/>
        <w:spacing w:after="140" w:before="280"/>
      </w:pPr>
      <w:r>
        <w:rPr>
          <w:rFonts w:ascii="Calibri" w:cs="Calibri" w:eastAsia="Calibri" w:hAnsi="Calibri"/>
          <w:b/>
          <w:bCs/>
          <w:color w:val="1B5E3F"/>
          <w:sz w:val="28"/>
          <w:szCs w:val="28"/>
        </w:rPr>
        <w:t xml:space="preserve">4. Next steps</w:t>
      </w:r>
    </w:p>
    <w:p>
      <w:pPr>
        <w:spacing w:after="160" w:line="276"/>
      </w:pPr>
      <w:r>
        <w:rPr>
          <w:rFonts w:ascii="Calibri" w:cs="Calibri" w:eastAsia="Calibri" w:hAnsi="Calibri"/>
          <w:sz w:val="22"/>
          <w:szCs w:val="22"/>
        </w:rPr>
        <w:t xml:space="preserve">Three modest steps keep this moving: time on an upcoming Cabinet agenda to discuss the draft framework and the decisions it requests; a referral to Academic Affairs of the proof of concept’s faculty-adoption questions (endorsement of named sections, instructor review and its recognition, hosting, and the accessibility pass that must precede any district-level rollout); and feedback on the framework by [date]. I would welcome the chance to demonstrate the ENG 119 Companion live — it takes about five minutes.</w:t>
      </w:r>
    </w:p>
    <w:p>
      <w:pPr>
        <w:spacing w:after="160" w:line="276"/>
      </w:pPr>
      <w:r>
        <w:rPr>
          <w:rFonts w:ascii="Calibri" w:cs="Calibri" w:eastAsia="Calibri" w:hAnsi="Calibri"/>
          <w:b/>
          <w:bCs/>
          <w:sz w:val="22"/>
          <w:szCs w:val="22"/>
        </w:rPr>
        <w:t xml:space="preserve">Attachments: </w:t>
      </w:r>
      <w:r>
        <w:rPr>
          <w:rFonts w:ascii="Calibri" w:cs="Calibri" w:eastAsia="Calibri" w:hAnsi="Calibri"/>
          <w:sz w:val="22"/>
          <w:szCs w:val="22"/>
        </w:rPr>
        <w:t xml:space="preserve">(1) WCCCD AI Adoption Framework, draft, August 2026 — the subject of this memo; (2) ENG 119 Companion, live at ecrutch1.github.io/Eng119 — proof of concept; (3) Course Companion overview — supporting detail for Academic Affairs.</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AI at WCCCD — Framework and Course Companion Introduction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pvopa7axqwmefvgzodnm" Type="http://schemas.openxmlformats.org/officeDocument/2006/relationships/hyperlink" Target="https://www.wcccd.edu/office-of-the-chancellor/2026-%E2%80%93-2027-chancellors-action-prioritie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2026-08-12T05:53:18.444Z</dcterms:created>
  <dcterms:modified xsi:type="dcterms:W3CDTF">2026-08-12T05:53:18.447Z</dcterms:modified>
</cp:coreProperties>
</file>

<file path=docProps/custom.xml><?xml version="1.0" encoding="utf-8"?>
<Properties xmlns="http://schemas.openxmlformats.org/officeDocument/2006/custom-properties" xmlns:vt="http://schemas.openxmlformats.org/officeDocument/2006/docPropsVTypes"/>
</file>