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2E75B6"/>
          <w:sz w:val="20"/>
          <w:szCs w:val="20"/>
        </w:rPr>
        <w:t xml:space="preserve">WAYNE COUNTY COMMUNITY COLLEGE DISTRICT</w:t>
      </w:r>
    </w:p>
    <w:p>
      <w:pPr>
        <w:spacing w:after="600" w:before="0"/>
      </w:pPr>
      <w:r>
        <w:rPr>
          <w:rFonts w:ascii="Calibri" w:cs="Calibri" w:eastAsia="Calibri" w:hAnsi="Calibri"/>
          <w:color w:val="595959"/>
          <w:sz w:val="20"/>
          <w:szCs w:val="20"/>
        </w:rPr>
        <w:t xml:space="preserve">District Information Technology</w:t>
      </w:r>
    </w:p>
    <w:p>
      <w:pPr>
        <w:spacing w:after="120" w:before="0"/>
      </w:pPr>
      <w:r>
        <w:rPr>
          <w:rFonts w:ascii="Calibri" w:cs="Calibri" w:eastAsia="Calibri" w:hAnsi="Calibri"/>
          <w:b/>
          <w:bCs/>
          <w:color w:val="1F3864"/>
          <w:sz w:val="52"/>
          <w:szCs w:val="52"/>
        </w:rPr>
        <w:t xml:space="preserve">Acceptable Use Policy Framework</w:t>
      </w:r>
    </w:p>
    <w:p>
      <w:pPr>
        <w:spacing w:after="600" w:before="0"/>
      </w:pPr>
      <w:r>
        <w:rPr>
          <w:rFonts w:ascii="Calibri" w:cs="Calibri" w:eastAsia="Calibri" w:hAnsi="Calibri"/>
          <w:color w:val="2E75B6"/>
          <w:sz w:val="30"/>
          <w:szCs w:val="30"/>
        </w:rPr>
        <w:t xml:space="preserve">Research Findings and Proposed Approach</w:t>
      </w:r>
    </w:p>
    <w:p>
      <w:pPr>
        <w:pBdr>
          <w:top w:val="single" w:color="1F3864" w:sz="12" w:space="6"/>
        </w:pBdr>
      </w:pPr>
    </w:p>
    <w:p>
      <w:pPr>
        <w:spacing w:after="60" w:before="0"/>
      </w:pPr>
      <w:r>
        <w:rPr>
          <w:rFonts w:ascii="Calibri" w:cs="Calibri" w:eastAsia="Calibri" w:hAnsi="Calibri"/>
          <w:b/>
          <w:bCs/>
          <w:sz w:val="21"/>
          <w:szCs w:val="21"/>
        </w:rPr>
        <w:t xml:space="preserve">Prepared for:</w:t>
      </w:r>
      <w:r>
        <w:rPr>
          <w:rFonts w:ascii="Calibri" w:cs="Calibri" w:eastAsia="Calibri" w:hAnsi="Calibri"/>
          <w:sz w:val="21"/>
          <w:szCs w:val="21"/>
        </w:rPr>
        <w:t xml:space="preserve"> Chief Information Officer</w:t>
      </w:r>
    </w:p>
    <w:p>
      <w:pPr>
        <w:spacing w:after="60" w:before="0"/>
      </w:pPr>
      <w:r>
        <w:rPr>
          <w:rFonts w:ascii="Calibri" w:cs="Calibri" w:eastAsia="Calibri" w:hAnsi="Calibri"/>
          <w:b/>
          <w:bCs/>
          <w:sz w:val="21"/>
          <w:szCs w:val="21"/>
        </w:rPr>
        <w:t xml:space="preserve">Prepared by:</w:t>
      </w:r>
      <w:r>
        <w:rPr>
          <w:rFonts w:ascii="Calibri" w:cs="Calibri" w:eastAsia="Calibri" w:hAnsi="Calibri"/>
          <w:sz w:val="21"/>
          <w:szCs w:val="21"/>
        </w:rPr>
        <w:t xml:space="preserve"> Eric, District IT</w:t>
      </w:r>
    </w:p>
    <w:p>
      <w:pPr>
        <w:spacing w:after="60" w:before="0"/>
      </w:pPr>
      <w:r>
        <w:rPr>
          <w:rFonts w:ascii="Calibri" w:cs="Calibri" w:eastAsia="Calibri" w:hAnsi="Calibri"/>
          <w:b/>
          <w:bCs/>
          <w:sz w:val="21"/>
          <w:szCs w:val="21"/>
        </w:rPr>
        <w:t xml:space="preserve">Date:</w:t>
      </w:r>
      <w:r>
        <w:rPr>
          <w:rFonts w:ascii="Calibri" w:cs="Calibri" w:eastAsia="Calibri" w:hAnsi="Calibri"/>
          <w:sz w:val="21"/>
          <w:szCs w:val="21"/>
        </w:rPr>
        <w:t xml:space="preserve"> October 21, 2026</w:t>
      </w:r>
    </w:p>
    <w:p>
      <w:pPr>
        <w:spacing w:after="60" w:before="0"/>
      </w:pPr>
      <w:r>
        <w:rPr>
          <w:rFonts w:ascii="Calibri" w:cs="Calibri" w:eastAsia="Calibri" w:hAnsi="Calibri"/>
          <w:b/>
          <w:bCs/>
          <w:sz w:val="21"/>
          <w:szCs w:val="21"/>
        </w:rPr>
        <w:t xml:space="preserve">Status:</w:t>
      </w:r>
      <w:r>
        <w:rPr>
          <w:rFonts w:ascii="Calibri" w:cs="Calibri" w:eastAsia="Calibri" w:hAnsi="Calibri"/>
          <w:sz w:val="21"/>
          <w:szCs w:val="21"/>
        </w:rPr>
        <w:t xml:space="preserve"> Draft for discussion — not for distribution</w:t>
      </w:r>
    </w:p>
    <w:p>
      <w:r>
        <w:br w:type="page"/>
      </w:r>
    </w:p>
    <w:p>
      <w:pPr>
        <w:sectPr>
          <w:pgSz w:w="12240" w:h="15840" w:orient="portrait"/>
          <w:pgMar w:top="1260" w:right="1440" w:bottom="1260" w:left="1440" w:header="708" w:footer="708" w:gutter="0"/>
          <w:pgNumType/>
          <w:docGrid w:linePitch="360"/>
        </w:sectPr>
      </w:pPr>
    </w:p>
    <w:p>
      <w:pPr>
        <w:pStyle w:val="Heading1"/>
        <w:pBdr>
          <w:bottom w:val="single" w:color="2E75B6" w:sz="8" w:space="2"/>
        </w:pBdr>
        <w:spacing w:after="120" w:before="280"/>
      </w:pPr>
      <w:r>
        <w:rPr>
          <w:rFonts w:ascii="Calibri" w:cs="Calibri" w:eastAsia="Calibri" w:hAnsi="Calibri"/>
          <w:b/>
          <w:bCs/>
          <w:color w:val="1F3864"/>
          <w:sz w:val="30"/>
          <w:szCs w:val="30"/>
        </w:rPr>
        <w:t xml:space="preserve">1. Summary</w:t>
      </w:r>
    </w:p>
    <w:p>
      <w:pPr>
        <w:spacing w:after="120" w:before="0"/>
      </w:pPr>
      <w:r>
        <w:rPr>
          <w:rFonts w:ascii="Calibri" w:cs="Calibri" w:eastAsia="Calibri" w:hAnsi="Calibri"/>
          <w:sz w:val="21"/>
          <w:szCs w:val="21"/>
        </w:rPr>
        <w:t xml:space="preserve">The District's two published acceptable use policies were written for an on-premises, VPN-era network. They don't cover students on personal devices, cloud systems, multi-factor authentication, generative AI, or the data rules GLBA and FERPA now require. This document reviews what peer colleges and current frameworks do, and proposes a structure for replacing them.</w:t>
      </w:r>
    </w:p>
    <w:p>
      <w:pPr>
        <w:pStyle w:val="Heading2"/>
        <w:spacing w:after="80" w:before="200"/>
      </w:pPr>
      <w:r>
        <w:rPr>
          <w:rFonts w:ascii="Calibri" w:cs="Calibri" w:eastAsia="Calibri" w:hAnsi="Calibri"/>
          <w:b/>
          <w:bCs/>
          <w:color w:val="2E75B6"/>
          <w:sz w:val="24"/>
          <w:szCs w:val="24"/>
        </w:rPr>
        <w:t xml:space="preserve">Recommendation</w:t>
      </w:r>
    </w:p>
    <w:p>
      <w:pPr>
        <w:pStyle w:val="ListParagraph"/>
        <w:numPr>
          <w:ilvl w:val="0"/>
          <w:numId w:val="2"/>
        </w:numPr>
        <w:spacing w:after="60"/>
      </w:pPr>
      <w:r>
        <w:rPr>
          <w:rFonts w:ascii="Calibri" w:cs="Calibri" w:eastAsia="Calibri" w:hAnsi="Calibri"/>
          <w:b/>
          <w:bCs/>
          <w:sz w:val="21"/>
          <w:szCs w:val="21"/>
        </w:rPr>
        <w:t xml:space="preserve">Use a three-tier structure.</w:t>
      </w:r>
      <w:r>
        <w:rPr>
          <w:rFonts w:ascii="Calibri" w:cs="Calibri" w:eastAsia="Calibri" w:hAnsi="Calibri"/>
          <w:sz w:val="21"/>
          <w:szCs w:val="21"/>
        </w:rPr>
        <w:t xml:space="preserve"> A short Board-level policy sets principles. IT standards hold the detail, including the persona/device/system matrix. Procedures and how-to guides sit underneath. This is the pattern Maricopa, Oakland CC, and most mature peers use.</w:t>
      </w:r>
    </w:p>
    <w:p>
      <w:pPr>
        <w:pStyle w:val="ListParagraph"/>
        <w:numPr>
          <w:ilvl w:val="0"/>
          <w:numId w:val="2"/>
        </w:numPr>
        <w:spacing w:after="60"/>
      </w:pPr>
      <w:r>
        <w:rPr>
          <w:rFonts w:ascii="Calibri" w:cs="Calibri" w:eastAsia="Calibri" w:hAnsi="Calibri"/>
          <w:b/>
          <w:bCs/>
          <w:sz w:val="21"/>
          <w:szCs w:val="21"/>
        </w:rPr>
        <w:t xml:space="preserve">Let data drive the matrix.</w:t>
      </w:r>
      <w:r>
        <w:rPr>
          <w:rFonts w:ascii="Calibri" w:cs="Calibri" w:eastAsia="Calibri" w:hAnsi="Calibri"/>
          <w:sz w:val="21"/>
          <w:szCs w:val="21"/>
        </w:rPr>
        <w:t xml:space="preserve"> Classify data as Public, Internal, or Restricted. Who can access what, from which device, follows from the data class rather than a long list of device rules.</w:t>
      </w:r>
    </w:p>
    <w:p>
      <w:pPr>
        <w:pStyle w:val="ListParagraph"/>
        <w:numPr>
          <w:ilvl w:val="0"/>
          <w:numId w:val="2"/>
        </w:numPr>
        <w:spacing w:after="60"/>
      </w:pPr>
      <w:r>
        <w:rPr>
          <w:rFonts w:ascii="Calibri" w:cs="Calibri" w:eastAsia="Calibri" w:hAnsi="Calibri"/>
          <w:b/>
          <w:bCs/>
          <w:sz w:val="21"/>
          <w:szCs w:val="21"/>
        </w:rPr>
        <w:t xml:space="preserve">Replace "VPN plus inspection" with identity-based access.</w:t>
      </w:r>
      <w:r>
        <w:rPr>
          <w:rFonts w:ascii="Calibri" w:cs="Calibri" w:eastAsia="Calibri" w:hAnsi="Calibri"/>
          <w:sz w:val="21"/>
          <w:szCs w:val="21"/>
        </w:rPr>
        <w:t xml:space="preserve"> MFA for everyone, device-compliance checks through conditional access, and VPN only where an on-premises system still needs it.</w:t>
      </w:r>
    </w:p>
    <w:p>
      <w:pPr>
        <w:pStyle w:val="ListParagraph"/>
        <w:numPr>
          <w:ilvl w:val="0"/>
          <w:numId w:val="2"/>
        </w:numPr>
        <w:spacing w:after="60"/>
      </w:pPr>
      <w:r>
        <w:rPr>
          <w:rFonts w:ascii="Calibri" w:cs="Calibri" w:eastAsia="Calibri" w:hAnsi="Calibri"/>
          <w:b/>
          <w:bCs/>
          <w:sz w:val="21"/>
          <w:szCs w:val="21"/>
        </w:rPr>
        <w:t xml:space="preserve">Five IT standards</w:t>
      </w:r>
      <w:r>
        <w:rPr>
          <w:rFonts w:ascii="Calibri" w:cs="Calibri" w:eastAsia="Calibri" w:hAnsi="Calibri"/>
          <w:sz w:val="21"/>
          <w:szCs w:val="21"/>
        </w:rPr>
        <w:t xml:space="preserve"> sit under the Board policy: the access matrix, data classification, and three areas the current policies don't address — Generative AI, Remote Access and Devices, and Third-Party/Guest Access.</w:t>
      </w:r>
    </w:p>
    <w:p>
      <w:pPr>
        <w:pStyle w:val="ListParagraph"/>
        <w:numPr>
          <w:ilvl w:val="0"/>
          <w:numId w:val="2"/>
        </w:numPr>
        <w:spacing w:after="60"/>
      </w:pPr>
      <w:r>
        <w:rPr>
          <w:rFonts w:ascii="Calibri" w:cs="Calibri" w:eastAsia="Calibri" w:hAnsi="Calibri"/>
          <w:b/>
          <w:bCs/>
          <w:sz w:val="21"/>
          <w:szCs w:val="21"/>
        </w:rPr>
        <w:t xml:space="preserve">Make it stick operationally.</w:t>
      </w:r>
      <w:r>
        <w:rPr>
          <w:rFonts w:ascii="Calibri" w:cs="Calibri" w:eastAsia="Calibri" w:hAnsi="Calibri"/>
          <w:sz w:val="21"/>
          <w:szCs w:val="21"/>
        </w:rPr>
        <w:t xml:space="preserve"> Annual acknowledgment tied to security awareness training, a named owner, an annual review cycle, and one time-limited exception process.</w:t>
      </w:r>
    </w:p>
    <w:p>
      <w:pPr>
        <w:pStyle w:val="ListParagraph"/>
        <w:numPr>
          <w:ilvl w:val="0"/>
          <w:numId w:val="2"/>
        </w:numPr>
        <w:spacing w:after="60"/>
      </w:pPr>
      <w:r>
        <w:rPr>
          <w:rFonts w:ascii="Calibri" w:cs="Calibri" w:eastAsia="Calibri" w:hAnsi="Calibri"/>
          <w:b/>
          <w:bCs/>
          <w:sz w:val="21"/>
          <w:szCs w:val="21"/>
        </w:rPr>
        <w:t xml:space="preserve">Prove nothing was dropped.</w:t>
      </w:r>
      <w:r>
        <w:rPr>
          <w:rFonts w:ascii="Calibri" w:cs="Calibri" w:eastAsia="Calibri" w:hAnsi="Calibri"/>
          <w:sz w:val="21"/>
          <w:szCs w:val="21"/>
        </w:rPr>
        <w:t xml:space="preserve"> A coverage matrix (Appendix A) lists every topic, its current coverage, where it will live, and who owns it.</w:t>
      </w:r>
    </w:p>
    <w:p>
      <w:pPr>
        <w:pStyle w:val="Heading1"/>
        <w:pBdr>
          <w:bottom w:val="single" w:color="2E75B6" w:sz="8" w:space="2"/>
        </w:pBdr>
        <w:spacing w:after="120" w:before="280"/>
      </w:pPr>
      <w:r>
        <w:rPr>
          <w:rFonts w:ascii="Calibri" w:cs="Calibri" w:eastAsia="Calibri" w:hAnsi="Calibri"/>
          <w:b/>
          <w:bCs/>
          <w:color w:val="1F3864"/>
          <w:sz w:val="30"/>
          <w:szCs w:val="30"/>
        </w:rPr>
        <w:t xml:space="preserve">2. Where the Current Policies Fall Short</w:t>
      </w:r>
    </w:p>
    <w:p>
      <w:pPr>
        <w:spacing w:after="120" w:before="0"/>
      </w:pPr>
      <w:r>
        <w:rPr>
          <w:rFonts w:ascii="Calibri" w:cs="Calibri" w:eastAsia="Calibri" w:hAnsi="Calibri"/>
          <w:sz w:val="21"/>
          <w:szCs w:val="21"/>
        </w:rPr>
        <w:t xml:space="preserve">Reviewed: the WCCCD Acceptable Use Policy and Mobile Device Acceptable Use Policy as published on wcccd.edu (October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600"/>
        <w:gridCol w:w="3160"/>
      </w:tblGrid>
      <w:tr>
        <w:trPr>
          <w:cantSplit/>
          <w:tblHeader/>
        </w:trPr>
        <w:tc>
          <w:tcPr>
            <w:tcW w:type="dxa" w:w="26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Gap</w:t>
            </w:r>
          </w:p>
        </w:tc>
        <w:tc>
          <w:tcPr>
            <w:tcW w:type="dxa" w:w="36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What the current text says</w:t>
            </w:r>
          </w:p>
        </w:tc>
        <w:tc>
          <w:tcPr>
            <w:tcW w:type="dxa" w:w="316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Why it matters</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Students left out of device rules</w:t>
            </w:r>
          </w:p>
        </w:tc>
        <w:tc>
          <w:tcPr>
            <w:tcW w:type="dxa" w:w="36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Mobile policy applies to employees, contractors, faculty, and agents only.</w:t>
            </w:r>
          </w:p>
        </w:tc>
        <w:tc>
          <w:tcPr>
            <w:tcW w:type="dxa" w:w="31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Students are the largest user group and nearly all use personal devices for Blackboard, Self-Service, and M365.</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Outdated device model</w:t>
            </w:r>
          </w:p>
        </w:tc>
        <w:tc>
          <w:tcPr>
            <w:tcW w:type="dxa" w:w="36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Lists PDAs; requires IT director approval before any personal device connects; IT keeps an approved-device list.</w:t>
            </w:r>
          </w:p>
        </w:tc>
        <w:tc>
          <w:tcPr>
            <w:tcW w:type="dxa" w:w="316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Not enforceable with campus Wi-Fi, cloud apps, and thousands of personal phones. Unenforced rules weaken the whole policy.</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Network-perimeter security</w:t>
            </w:r>
          </w:p>
        </w:tc>
        <w:tc>
          <w:tcPr>
            <w:tcW w:type="dxa" w:w="36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Laptops and personal PCs may only reach the network via VPN; devices are inspected on connect.</w:t>
            </w:r>
          </w:p>
        </w:tc>
        <w:tc>
          <w:tcPr>
            <w:tcW w:type="dxa" w:w="31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Banner Self-Service, Blackboard, and M365 are reached over the internet, not through VPN. Control needs to sit with identity and device health.</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No MFA</w:t>
            </w:r>
          </w:p>
        </w:tc>
        <w:tc>
          <w:tcPr>
            <w:tcW w:type="dxa" w:w="36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Strong passwords only.</w:t>
            </w:r>
          </w:p>
        </w:tc>
        <w:tc>
          <w:tcPr>
            <w:tcW w:type="dxa" w:w="316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The GLBA Safeguards Rule now requires MFA for access to systems holding student financial data.</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No data classification</w:t>
            </w:r>
          </w:p>
        </w:tc>
        <w:tc>
          <w:tcPr>
            <w:tcW w:type="dxa" w:w="36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General references to "District data."</w:t>
            </w:r>
          </w:p>
        </w:tc>
        <w:tc>
          <w:tcPr>
            <w:tcW w:type="dxa" w:w="31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Users can't follow rules they can't apply. "Restricted data may not be stored on personal devices" is clear; "secure data management procedures" is not.</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No generative AI</w:t>
            </w:r>
          </w:p>
        </w:tc>
        <w:tc>
          <w:tcPr>
            <w:tcW w:type="dxa" w:w="36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Silent.</w:t>
            </w:r>
          </w:p>
        </w:tc>
        <w:tc>
          <w:tcPr>
            <w:tcW w:type="dxa" w:w="316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Public AI tools are freely available to staff and students, and nothing tells them what data they may enter. No guardrail for FERPA or GLBA data.</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Contradictory monitoring language</w:t>
            </w:r>
          </w:p>
        </w:tc>
        <w:tc>
          <w:tcPr>
            <w:tcW w:type="dxa" w:w="36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AUP: District does not routinely monitor. Mobile policy: audit trails used without notice.</w:t>
            </w:r>
          </w:p>
        </w:tc>
        <w:tc>
          <w:tcPr>
            <w:tcW w:type="dxa" w:w="31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Inconsistent notice undermines enforcement and invites challenge.</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Thin on third parties</w:t>
            </w:r>
          </w:p>
        </w:tc>
        <w:tc>
          <w:tcPr>
            <w:tcW w:type="dxa" w:w="36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Contractors are in scope, but no obligations or onboarding.</w:t>
            </w:r>
          </w:p>
        </w:tc>
        <w:tc>
          <w:tcPr>
            <w:tcW w:type="dxa" w:w="316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GLBA requires oversight of service providers. Vendors often hold privileged access to Banner.</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No governance metadata</w:t>
            </w:r>
          </w:p>
        </w:tc>
        <w:tc>
          <w:tcPr>
            <w:tcW w:type="dxa" w:w="36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Refers to a Board Administrative Memorandum not linked; no owner, effective date, or review cycle.</w:t>
            </w:r>
          </w:p>
        </w:tc>
        <w:tc>
          <w:tcPr>
            <w:tcW w:type="dxa" w:w="31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Auditors and accreditors look for ownership and review history.</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No regulatory references</w:t>
            </w:r>
          </w:p>
        </w:tc>
        <w:tc>
          <w:tcPr>
            <w:tcW w:type="dxa" w:w="36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Copyright (Title 17) only.</w:t>
            </w:r>
          </w:p>
        </w:tc>
        <w:tc>
          <w:tcPr>
            <w:tcW w:type="dxa" w:w="316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FERPA, GLBA, Michigan breach law, and ADA Title II are the drivers that matter most now.</w:t>
            </w:r>
          </w:p>
        </w:tc>
      </w:tr>
    </w:tbl>
    <w:p>
      <w:pPr>
        <w:pStyle w:val="Heading1"/>
        <w:pBdr>
          <w:bottom w:val="single" w:color="2E75B6" w:sz="8" w:space="2"/>
        </w:pBdr>
        <w:spacing w:after="120" w:before="280"/>
      </w:pPr>
      <w:r>
        <w:rPr>
          <w:rFonts w:ascii="Calibri" w:cs="Calibri" w:eastAsia="Calibri" w:hAnsi="Calibri"/>
          <w:b/>
          <w:bCs/>
          <w:color w:val="1F3864"/>
          <w:sz w:val="30"/>
          <w:szCs w:val="30"/>
        </w:rPr>
        <w:t xml:space="preserve">3. What Peer Institutions Do</w:t>
      </w:r>
    </w:p>
    <w:p>
      <w:pPr>
        <w:spacing w:after="120" w:before="0"/>
      </w:pPr>
      <w:r>
        <w:rPr>
          <w:rFonts w:ascii="Calibri" w:cs="Calibri" w:eastAsia="Calibri" w:hAnsi="Calibri"/>
          <w:sz w:val="21"/>
          <w:szCs w:val="21"/>
        </w:rPr>
        <w:t xml:space="preserve">A sample of Michigan and national community colleges. Most current policies separate a short governing policy from operational standards that IT can update without returning to the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500"/>
        <w:gridCol w:w="3860"/>
      </w:tblGrid>
      <w:tr>
        <w:trPr>
          <w:cantSplit/>
          <w:tblHeader/>
        </w:trPr>
        <w:tc>
          <w:tcPr>
            <w:tcW w:type="dxa" w:w="20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Institution</w:t>
            </w:r>
          </w:p>
        </w:tc>
        <w:tc>
          <w:tcPr>
            <w:tcW w:type="dxa" w:w="35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Structure</w:t>
            </w:r>
          </w:p>
        </w:tc>
        <w:tc>
          <w:tcPr>
            <w:tcW w:type="dxa" w:w="386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Worth borrowing</w:t>
            </w:r>
          </w:p>
        </w:tc>
      </w:tr>
      <w:tr>
        <w:trPr>
          <w:cantSplit/>
          <w:tblHeader w:val="off"/>
        </w:trPr>
        <w:tc>
          <w:tcPr>
            <w:tcW w:type="dxa" w:w="20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Maricopa CCD (AZ)</w:t>
            </w:r>
          </w:p>
        </w:tc>
        <w:tc>
          <w:tcPr>
            <w:tcW w:type="dxa" w:w="35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Board Policy 10.1, adopted Jan. 27, 2026. Three pages. Detail lives in ITS Directives.</w:t>
            </w:r>
          </w:p>
        </w:tc>
        <w:tc>
          <w:tcPr>
            <w:tcW w:type="dxa" w:w="38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Scope names vendors, volunteers, and guests. Annual review. Employees must complete cybersecurity training within 30 days of hire and yearly, or access may be revoked.</w:t>
            </w:r>
          </w:p>
        </w:tc>
      </w:tr>
      <w:tr>
        <w:trPr>
          <w:cantSplit/>
          <w:tblHeader w:val="off"/>
        </w:trPr>
        <w:tc>
          <w:tcPr>
            <w:tcW w:type="dxa" w:w="20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Oakland CC (MI)</w:t>
            </w:r>
          </w:p>
        </w:tc>
        <w:tc>
          <w:tcPr>
            <w:tcW w:type="dxa" w:w="35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Board policy plus Technology Appropriate Use Regulations (TAUR) underneath.</w:t>
            </w:r>
          </w:p>
        </w:tc>
        <w:tc>
          <w:tcPr>
            <w:tcW w:type="dxa" w:w="386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Clean policy/regulation layering. Permits limited incidental personal use.</w:t>
            </w:r>
          </w:p>
        </w:tc>
      </w:tr>
      <w:tr>
        <w:trPr>
          <w:cantSplit/>
          <w:tblHeader w:val="off"/>
        </w:trPr>
        <w:tc>
          <w:tcPr>
            <w:tcW w:type="dxa" w:w="20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Macomb CC (MI)</w:t>
            </w:r>
          </w:p>
        </w:tc>
        <w:tc>
          <w:tcPr>
            <w:tcW w:type="dxa" w:w="35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Single administrative policy; last revised 2018.</w:t>
            </w:r>
          </w:p>
        </w:tc>
        <w:tc>
          <w:tcPr>
            <w:tcW w:type="dxa" w:w="38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Standing Technology Advisory Committee (faculty, administrators, General Counsel, IT) reviews the policy. Bars Restricted data on USB drives or unapproved cloud storage. Separate reporting paths for student vs. employee violations.</w:t>
            </w:r>
          </w:p>
        </w:tc>
      </w:tr>
      <w:tr>
        <w:trPr>
          <w:cantSplit/>
          <w:tblHeader w:val="off"/>
        </w:trPr>
        <w:tc>
          <w:tcPr>
            <w:tcW w:type="dxa" w:w="20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Henry Ford College (MI)</w:t>
            </w:r>
          </w:p>
        </w:tc>
        <w:tc>
          <w:tcPr>
            <w:tcW w:type="dxa" w:w="35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Policy plus signed acceptance declaration.</w:t>
            </w:r>
          </w:p>
        </w:tc>
        <w:tc>
          <w:tcPr>
            <w:tcW w:type="dxa" w:w="386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Requires college email for all official communication. Links AUP to Student Code, FOIA, and social media policies.</w:t>
            </w:r>
          </w:p>
        </w:tc>
      </w:tr>
      <w:tr>
        <w:trPr>
          <w:cantSplit/>
          <w:tblHeader w:val="off"/>
        </w:trPr>
        <w:tc>
          <w:tcPr>
            <w:tcW w:type="dxa" w:w="20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Delta College (MI)</w:t>
            </w:r>
          </w:p>
        </w:tc>
        <w:tc>
          <w:tcPr>
            <w:tcW w:type="dxa" w:w="35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Board Policy 8.020, AI, adopted June 9, 2026.</w:t>
            </w:r>
          </w:p>
        </w:tc>
        <w:tc>
          <w:tcPr>
            <w:tcW w:type="dxa" w:w="38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Strongest local AI model: faculty choose AI Prohibited / Allowed with Conditions / Integrated per course; tools approved by IT governance; training before use; vendors may not train AI on college data.</w:t>
            </w:r>
          </w:p>
        </w:tc>
      </w:tr>
      <w:tr>
        <w:trPr>
          <w:cantSplit/>
          <w:tblHeader w:val="off"/>
        </w:trPr>
        <w:tc>
          <w:tcPr>
            <w:tcW w:type="dxa" w:w="20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Monroe CC (NY)</w:t>
            </w:r>
          </w:p>
        </w:tc>
        <w:tc>
          <w:tcPr>
            <w:tcW w:type="dxa" w:w="35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Revised AUP (draft).</w:t>
            </w:r>
          </w:p>
        </w:tc>
        <w:tc>
          <w:tcPr>
            <w:tcW w:type="dxa" w:w="386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Plain prohibitions on handling restricted data over public networks or on non-college devices.</w:t>
            </w:r>
          </w:p>
        </w:tc>
      </w:tr>
    </w:tbl>
    <w:p>
      <w:pPr>
        <w:pStyle w:val="Heading2"/>
        <w:spacing w:after="80" w:before="200"/>
      </w:pPr>
      <w:r>
        <w:rPr>
          <w:rFonts w:ascii="Calibri" w:cs="Calibri" w:eastAsia="Calibri" w:hAnsi="Calibri"/>
          <w:b/>
          <w:bCs/>
          <w:color w:val="2E75B6"/>
          <w:sz w:val="24"/>
          <w:szCs w:val="24"/>
        </w:rPr>
        <w:t xml:space="preserve">Patterns across peers</w:t>
      </w:r>
    </w:p>
    <w:p>
      <w:pPr>
        <w:pStyle w:val="ListParagraph"/>
        <w:numPr>
          <w:ilvl w:val="0"/>
          <w:numId w:val="2"/>
        </w:numPr>
        <w:spacing w:after="60"/>
      </w:pPr>
      <w:r>
        <w:rPr>
          <w:rFonts w:ascii="Calibri" w:cs="Calibri" w:eastAsia="Calibri" w:hAnsi="Calibri"/>
          <w:sz w:val="21"/>
          <w:szCs w:val="21"/>
        </w:rPr>
        <w:t xml:space="preserve">Short, durable Board policy; operational detail in standards IT can revise.</w:t>
      </w:r>
    </w:p>
    <w:p>
      <w:pPr>
        <w:pStyle w:val="ListParagraph"/>
        <w:numPr>
          <w:ilvl w:val="0"/>
          <w:numId w:val="2"/>
        </w:numPr>
        <w:spacing w:after="60"/>
      </w:pPr>
      <w:r>
        <w:rPr>
          <w:rFonts w:ascii="Calibri" w:cs="Calibri" w:eastAsia="Calibri" w:hAnsi="Calibri"/>
          <w:sz w:val="21"/>
          <w:szCs w:val="21"/>
        </w:rPr>
        <w:t xml:space="preserve">Scope includes everyone who touches the systems — students, employees, vendors, volunteers, and guests.</w:t>
      </w:r>
    </w:p>
    <w:p>
      <w:pPr>
        <w:pStyle w:val="ListParagraph"/>
        <w:numPr>
          <w:ilvl w:val="0"/>
          <w:numId w:val="2"/>
        </w:numPr>
        <w:spacing w:after="60"/>
      </w:pPr>
      <w:r>
        <w:rPr>
          <w:rFonts w:ascii="Calibri" w:cs="Calibri" w:eastAsia="Calibri" w:hAnsi="Calibri"/>
          <w:sz w:val="21"/>
          <w:szCs w:val="21"/>
        </w:rPr>
        <w:t xml:space="preserve">Data handling rules are concrete and tied to named data types (FERPA records, SSNs, financial aid).</w:t>
      </w:r>
    </w:p>
    <w:p>
      <w:pPr>
        <w:pStyle w:val="ListParagraph"/>
        <w:numPr>
          <w:ilvl w:val="0"/>
          <w:numId w:val="2"/>
        </w:numPr>
        <w:spacing w:after="60"/>
      </w:pPr>
      <w:r>
        <w:rPr>
          <w:rFonts w:ascii="Calibri" w:cs="Calibri" w:eastAsia="Calibri" w:hAnsi="Calibri"/>
          <w:sz w:val="21"/>
          <w:szCs w:val="21"/>
        </w:rPr>
        <w:t xml:space="preserve">Acknowledgment and training are conditions of keeping access, not one-time signatures.</w:t>
      </w:r>
    </w:p>
    <w:p>
      <w:pPr>
        <w:pStyle w:val="ListParagraph"/>
        <w:numPr>
          <w:ilvl w:val="0"/>
          <w:numId w:val="2"/>
        </w:numPr>
        <w:spacing w:after="60"/>
      </w:pPr>
      <w:r>
        <w:rPr>
          <w:rFonts w:ascii="Calibri" w:cs="Calibri" w:eastAsia="Calibri" w:hAnsi="Calibri"/>
          <w:sz w:val="21"/>
          <w:szCs w:val="21"/>
        </w:rPr>
        <w:t xml:space="preserve">AI is handled as its own policy or standard, with faculty discretion over coursework.</w:t>
      </w:r>
    </w:p>
    <w:p>
      <w:pPr>
        <w:pStyle w:val="Heading1"/>
        <w:pBdr>
          <w:bottom w:val="single" w:color="2E75B6" w:sz="8" w:space="2"/>
        </w:pBdr>
        <w:spacing w:after="120" w:before="280"/>
      </w:pPr>
      <w:r>
        <w:rPr>
          <w:rFonts w:ascii="Calibri" w:cs="Calibri" w:eastAsia="Calibri" w:hAnsi="Calibri"/>
          <w:b/>
          <w:bCs/>
          <w:color w:val="1F3864"/>
          <w:sz w:val="30"/>
          <w:szCs w:val="30"/>
        </w:rPr>
        <w:t xml:space="preserve">4. Compliance and Framework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000"/>
        <w:gridCol w:w="3160"/>
      </w:tblGrid>
      <w:tr>
        <w:trPr>
          <w:cantSplit/>
          <w:tblHeader/>
        </w:trPr>
        <w:tc>
          <w:tcPr>
            <w:tcW w:type="dxa" w:w="22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Driver</w:t>
            </w:r>
          </w:p>
        </w:tc>
        <w:tc>
          <w:tcPr>
            <w:tcW w:type="dxa" w:w="40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What it requires</w:t>
            </w:r>
          </w:p>
        </w:tc>
        <w:tc>
          <w:tcPr>
            <w:tcW w:type="dxa" w:w="316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Effect on the AUP</w:t>
            </w:r>
          </w:p>
        </w:tc>
      </w:tr>
      <w:tr>
        <w:trPr>
          <w:cantSplit/>
          <w:tblHeader w:val="off"/>
        </w:trPr>
        <w:tc>
          <w:tcPr>
            <w:tcW w:type="dxa" w:w="22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GLBA Safeguards Rule (FTC; enforced for Title IV schools through FSA)</w:t>
            </w:r>
          </w:p>
        </w:tc>
        <w:tc>
          <w:tcPr>
            <w:tcW w:type="dxa" w:w="40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Amended requirements effective June 9, 2023: qualified individual, risk assessment, encryption, MFA, training, vendor oversight. Breach reporting: FSA expects Title IV schools to report actual or suspected breaches to the Department of Education the day they are detected. A 2024 FTC amendment added a 30-day FTC notice for events involving 500+ consumers; confirm with counsel whether it reaches a public college.</w:t>
            </w:r>
          </w:p>
        </w:tc>
        <w:tc>
          <w:tcPr>
            <w:tcW w:type="dxa" w:w="31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MFA and encryption become user obligations. Users must report incidents immediately so the District can meet same-day ED reporting. Training tied to access. Vendor clauses. Links to the WISP.</w:t>
            </w:r>
          </w:p>
        </w:tc>
      </w:tr>
      <w:tr>
        <w:trPr>
          <w:cantSplit/>
          <w:tblHeader w:val="off"/>
        </w:trPr>
        <w:tc>
          <w:tcPr>
            <w:tcW w:type="dxa" w:w="22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FERPA</w:t>
            </w:r>
          </w:p>
        </w:tc>
        <w:tc>
          <w:tcPr>
            <w:tcW w:type="dxa" w:w="40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Protects student education records.</w:t>
            </w:r>
          </w:p>
        </w:tc>
        <w:tc>
          <w:tcPr>
            <w:tcW w:type="dxa" w:w="316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Defines Restricted data. Governs AI use, email, and storage on personal devices.</w:t>
            </w:r>
          </w:p>
        </w:tc>
      </w:tr>
      <w:tr>
        <w:trPr>
          <w:cantSplit/>
          <w:tblHeader w:val="off"/>
        </w:trPr>
        <w:tc>
          <w:tcPr>
            <w:tcW w:type="dxa" w:w="22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Michigan Identity Theft Protection Act (MCL 445.72)</w:t>
            </w:r>
          </w:p>
        </w:tc>
        <w:tc>
          <w:tcPr>
            <w:tcW w:type="dxa" w:w="40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Notify affected Michigan residents of a breach likely to cause harm; notify credit bureaus if more than 1,000 residents.</w:t>
            </w:r>
          </w:p>
        </w:tc>
        <w:tc>
          <w:tcPr>
            <w:tcW w:type="dxa" w:w="31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Users must report lost devices and suspected incidents immediately.</w:t>
            </w:r>
          </w:p>
        </w:tc>
      </w:tr>
      <w:tr>
        <w:trPr>
          <w:cantSplit/>
          <w:tblHeader w:val="off"/>
        </w:trPr>
        <w:tc>
          <w:tcPr>
            <w:tcW w:type="dxa" w:w="22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ADA Title II web rule (DOJ)</w:t>
            </w:r>
          </w:p>
        </w:tc>
        <w:tc>
          <w:tcPr>
            <w:tcW w:type="dxa" w:w="40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WCAG 2.1 AA for web content, apps, and course materials. An April 20, 2026 interim final rule moved the dates: April 26, 2027 for public entities of 50,000+ population; April 26, 2028 for smaller entities and special district governments.</w:t>
            </w:r>
          </w:p>
        </w:tc>
        <w:tc>
          <w:tcPr>
            <w:tcW w:type="dxa" w:w="316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Faculty and staff who publish content (Blackboard, SharePoint, web) share responsibility. Counsel should confirm whether WCCCD, as a community college district, falls under the 2027 or 2028 date.</w:t>
            </w:r>
          </w:p>
        </w:tc>
      </w:tr>
      <w:tr>
        <w:trPr>
          <w:cantSplit/>
          <w:tblHeader w:val="off"/>
        </w:trPr>
        <w:tc>
          <w:tcPr>
            <w:tcW w:type="dxa" w:w="22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PCI DSS</w:t>
            </w:r>
          </w:p>
        </w:tc>
        <w:tc>
          <w:tcPr>
            <w:tcW w:type="dxa" w:w="40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Applies wherever card payments are taken (e.g., CE registration).</w:t>
            </w:r>
          </w:p>
        </w:tc>
        <w:tc>
          <w:tcPr>
            <w:tcW w:type="dxa" w:w="31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Prohibit storing or emailing card numbers; route payments only through approved processors.</w:t>
            </w:r>
          </w:p>
        </w:tc>
      </w:tr>
      <w:tr>
        <w:trPr>
          <w:cantSplit/>
          <w:tblHeader w:val="off"/>
        </w:trPr>
        <w:tc>
          <w:tcPr>
            <w:tcW w:type="dxa" w:w="22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NIST CSF 2.0 (Feb. 2024)</w:t>
            </w:r>
          </w:p>
        </w:tc>
        <w:tc>
          <w:tcPr>
            <w:tcW w:type="dxa" w:w="40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New Govern function; GV.PO calls for policy that is established, communicated, and enforced.</w:t>
            </w:r>
          </w:p>
        </w:tc>
        <w:tc>
          <w:tcPr>
            <w:tcW w:type="dxa" w:w="316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Use as the governance spine; matches the existing incident response plan alignment.</w:t>
            </w:r>
          </w:p>
        </w:tc>
      </w:tr>
      <w:tr>
        <w:trPr>
          <w:cantSplit/>
          <w:tblHeader w:val="off"/>
        </w:trPr>
        <w:tc>
          <w:tcPr>
            <w:tcW w:type="dxa" w:w="22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CIS Controls v8.1 AUP template (Oct. 2025)</w:t>
            </w:r>
          </w:p>
        </w:tc>
        <w:tc>
          <w:tcPr>
            <w:tcW w:type="dxa" w:w="40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Free AUP template built around what users may do with data, assets, and transmission.</w:t>
            </w:r>
          </w:p>
        </w:tc>
        <w:tc>
          <w:tcPr>
            <w:tcW w:type="dxa" w:w="31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Good drafting baseline for the Board policy and user obligations.</w:t>
            </w:r>
          </w:p>
        </w:tc>
      </w:tr>
      <w:tr>
        <w:trPr>
          <w:cantSplit/>
          <w:tblHeader w:val="off"/>
        </w:trPr>
        <w:tc>
          <w:tcPr>
            <w:tcW w:type="dxa" w:w="22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HECVAT 4 (EDUCAUSE; v4.1.6)</w:t>
            </w:r>
          </w:p>
        </w:tc>
        <w:tc>
          <w:tcPr>
            <w:tcW w:type="dxa" w:w="40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Standard vendor security questionnaire; now includes privacy and AI questions.</w:t>
            </w:r>
          </w:p>
        </w:tc>
        <w:tc>
          <w:tcPr>
            <w:tcW w:type="dxa" w:w="316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Require HECVAT for vendors receiving Internal or Restricted data.</w:t>
            </w:r>
          </w:p>
        </w:tc>
      </w:tr>
    </w:tbl>
    <w:p>
      <w:pPr>
        <w:pStyle w:val="Heading1"/>
        <w:pBdr>
          <w:bottom w:val="single" w:color="2E75B6" w:sz="8" w:space="2"/>
        </w:pBdr>
        <w:spacing w:after="120" w:before="280"/>
      </w:pPr>
      <w:r>
        <w:rPr>
          <w:rFonts w:ascii="Calibri" w:cs="Calibri" w:eastAsia="Calibri" w:hAnsi="Calibri"/>
          <w:b/>
          <w:bCs/>
          <w:color w:val="1F3864"/>
          <w:sz w:val="30"/>
          <w:szCs w:val="30"/>
        </w:rPr>
        <w:t xml:space="preserve">5. Proposed Policy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900"/>
        <w:gridCol w:w="1700"/>
        <w:gridCol w:w="1600"/>
        <w:gridCol w:w="1660"/>
      </w:tblGrid>
      <w:tr>
        <w:trPr>
          <w:cantSplit/>
          <w:tblHeader/>
        </w:trPr>
        <w:tc>
          <w:tcPr>
            <w:tcW w:type="dxa" w:w="15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Tier</w:t>
            </w:r>
          </w:p>
        </w:tc>
        <w:tc>
          <w:tcPr>
            <w:tcW w:type="dxa" w:w="29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Document(s)</w:t>
            </w:r>
          </w:p>
        </w:tc>
        <w:tc>
          <w:tcPr>
            <w:tcW w:type="dxa" w:w="17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Approved by</w:t>
            </w:r>
          </w:p>
        </w:tc>
        <w:tc>
          <w:tcPr>
            <w:tcW w:type="dxa" w:w="16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Change cycle</w:t>
            </w:r>
          </w:p>
        </w:tc>
        <w:tc>
          <w:tcPr>
            <w:tcW w:type="dxa" w:w="166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Audience</w:t>
            </w:r>
          </w:p>
        </w:tc>
      </w:tr>
      <w:tr>
        <w:trPr>
          <w:cantSplit/>
          <w:tblHeader w:val="off"/>
        </w:trPr>
        <w:tc>
          <w:tcPr>
            <w:tcW w:type="dxa" w:w="15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1. Board policy</w:t>
            </w:r>
          </w:p>
        </w:tc>
        <w:tc>
          <w:tcPr>
            <w:tcW w:type="dxa" w:w="29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Acceptable Use of District Technology Resources (2–4 pages)</w:t>
            </w:r>
          </w:p>
        </w:tc>
        <w:tc>
          <w:tcPr>
            <w:tcW w:type="dxa" w:w="17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Board of Trustees</w:t>
            </w:r>
          </w:p>
        </w:tc>
        <w:tc>
          <w:tcPr>
            <w:tcW w:type="dxa" w:w="16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Every 3 years or on legal change</w:t>
            </w:r>
          </w:p>
        </w:tc>
        <w:tc>
          <w:tcPr>
            <w:tcW w:type="dxa" w:w="16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Public</w:t>
            </w:r>
          </w:p>
        </w:tc>
      </w:tr>
      <w:tr>
        <w:trPr>
          <w:cantSplit/>
          <w:tblHeader w:val="off"/>
        </w:trPr>
        <w:tc>
          <w:tcPr>
            <w:tcW w:type="dxa" w:w="15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2. IT standards</w:t>
            </w:r>
          </w:p>
        </w:tc>
        <w:tc>
          <w:tcPr>
            <w:tcW w:type="dxa" w:w="29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A. Access Matrix (persona × device × system)</w:t>
            </w:r>
          </w:p>
          <w:p>
            <w:pPr>
              <w:spacing w:after="20"/>
            </w:pPr>
            <w:r>
              <w:rPr>
                <w:rFonts w:ascii="Calibri" w:cs="Calibri" w:eastAsia="Calibri" w:hAnsi="Calibri"/>
                <w:sz w:val="18"/>
                <w:szCs w:val="18"/>
              </w:rPr>
              <w:t xml:space="preserve">B. Data Classification and Handling</w:t>
            </w:r>
          </w:p>
          <w:p>
            <w:pPr>
              <w:spacing w:after="20"/>
            </w:pPr>
            <w:r>
              <w:rPr>
                <w:rFonts w:ascii="Calibri" w:cs="Calibri" w:eastAsia="Calibri" w:hAnsi="Calibri"/>
                <w:sz w:val="18"/>
                <w:szCs w:val="18"/>
              </w:rPr>
              <w:t xml:space="preserve">C. Remote Access and Devices (incl. BYOD)</w:t>
            </w:r>
          </w:p>
          <w:p>
            <w:pPr>
              <w:spacing w:after="20"/>
            </w:pPr>
            <w:r>
              <w:rPr>
                <w:rFonts w:ascii="Calibri" w:cs="Calibri" w:eastAsia="Calibri" w:hAnsi="Calibri"/>
                <w:sz w:val="18"/>
                <w:szCs w:val="18"/>
              </w:rPr>
              <w:t xml:space="preserve">D. Generative AI</w:t>
            </w:r>
          </w:p>
          <w:p>
            <w:pPr>
              <w:spacing w:after="20"/>
            </w:pPr>
            <w:r>
              <w:rPr>
                <w:rFonts w:ascii="Calibri" w:cs="Calibri" w:eastAsia="Calibri" w:hAnsi="Calibri"/>
                <w:sz w:val="18"/>
                <w:szCs w:val="18"/>
              </w:rPr>
              <w:t xml:space="preserve">E. Third-Party and Guest Access</w:t>
            </w:r>
          </w:p>
        </w:tc>
        <w:tc>
          <w:tcPr>
            <w:tcW w:type="dxa" w:w="17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CIO, with CISO; legal review</w:t>
            </w:r>
          </w:p>
        </w:tc>
        <w:tc>
          <w:tcPr>
            <w:tcW w:type="dxa" w:w="16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Annual, or as systems change</w:t>
            </w:r>
          </w:p>
        </w:tc>
        <w:tc>
          <w:tcPr>
            <w:tcW w:type="dxa" w:w="166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Public layer: public</w:t>
            </w:r>
          </w:p>
          <w:p>
            <w:pPr>
              <w:spacing w:after="20"/>
            </w:pPr>
            <w:r>
              <w:rPr>
                <w:rFonts w:ascii="Calibri" w:cs="Calibri" w:eastAsia="Calibri" w:hAnsi="Calibri"/>
                <w:sz w:val="18"/>
                <w:szCs w:val="18"/>
              </w:rPr>
              <w:t xml:space="preserve">Internal layer: IT and CISO</w:t>
            </w:r>
          </w:p>
        </w:tc>
      </w:tr>
      <w:tr>
        <w:trPr>
          <w:cantSplit/>
          <w:tblHeader w:val="off"/>
        </w:trPr>
        <w:tc>
          <w:tcPr>
            <w:tcW w:type="dxa" w:w="15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3. Procedures and guides</w:t>
            </w:r>
          </w:p>
        </w:tc>
        <w:tc>
          <w:tcPr>
            <w:tcW w:type="dxa" w:w="29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Onboarding acknowledgment, BYOD enrollment steps, approved AI tools list, lost-device reporting, account request forms</w:t>
            </w:r>
          </w:p>
        </w:tc>
        <w:tc>
          <w:tcPr>
            <w:tcW w:type="dxa" w:w="17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IT directors</w:t>
            </w:r>
          </w:p>
        </w:tc>
        <w:tc>
          <w:tcPr>
            <w:tcW w:type="dxa" w:w="16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As needed</w:t>
            </w:r>
          </w:p>
        </w:tc>
        <w:tc>
          <w:tcPr>
            <w:tcW w:type="dxa" w:w="16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Employees; some student-facing</w:t>
            </w:r>
          </w:p>
        </w:tc>
      </w:tr>
    </w:tbl>
    <w:p>
      <w:pPr>
        <w:spacing w:after="80" w:before="0"/>
      </w:pPr>
      <w:r>
        <w:rPr>
          <w:rFonts w:ascii="Calibri" w:cs="Calibri" w:eastAsia="Calibri" w:hAnsi="Calibri"/>
          <w:sz w:val="21"/>
          <w:szCs w:val="21"/>
        </w:rPr>
        <w:t xml:space="preserve"/>
      </w:r>
    </w:p>
    <w:p>
      <w:pPr>
        <w:spacing w:after="120" w:before="0"/>
      </w:pPr>
      <w:r>
        <w:rPr>
          <w:rFonts w:ascii="Calibri" w:cs="Calibri" w:eastAsia="Calibri" w:hAnsi="Calibri"/>
          <w:b/>
          <w:bCs/>
          <w:sz w:val="21"/>
          <w:szCs w:val="21"/>
        </w:rPr>
        <w:t xml:space="preserve">Why this works:</w:t>
      </w:r>
      <w:r>
        <w:rPr>
          <w:rFonts w:ascii="Calibri" w:cs="Calibri" w:eastAsia="Calibri" w:hAnsi="Calibri"/>
          <w:sz w:val="21"/>
          <w:szCs w:val="21"/>
        </w:rPr>
        <w:t xml:space="preserve"> the Board approves principles once. When Blackboard changes, a new AI tool is approved, or MFA methods change, IT updates a standard instead of reopening Board policy. The AUP also becomes the user-facing piece of the WISP, so both stay consistent.</w:t>
      </w:r>
    </w:p>
    <w:p>
      <w:pPr>
        <w:pStyle w:val="Heading2"/>
        <w:spacing w:after="80" w:before="200"/>
      </w:pPr>
      <w:r>
        <w:rPr>
          <w:rFonts w:ascii="Calibri" w:cs="Calibri" w:eastAsia="Calibri" w:hAnsi="Calibri"/>
          <w:b/>
          <w:bCs/>
          <w:color w:val="2E75B6"/>
          <w:sz w:val="24"/>
          <w:szCs w:val="24"/>
        </w:rPr>
        <w:t xml:space="preserve">Personas</w:t>
      </w:r>
    </w:p>
    <w:p>
      <w:pPr>
        <w:pStyle w:val="ListParagraph"/>
        <w:numPr>
          <w:ilvl w:val="0"/>
          <w:numId w:val="2"/>
        </w:numPr>
        <w:spacing w:after="60"/>
      </w:pPr>
      <w:r>
        <w:rPr>
          <w:rFonts w:ascii="Calibri" w:cs="Calibri" w:eastAsia="Calibri" w:hAnsi="Calibri"/>
          <w:b/>
          <w:bCs/>
          <w:sz w:val="21"/>
          <w:szCs w:val="21"/>
        </w:rPr>
        <w:t xml:space="preserve">Students</w:t>
      </w:r>
      <w:r>
        <w:rPr>
          <w:rFonts w:ascii="Calibri" w:cs="Calibri" w:eastAsia="Calibri" w:hAnsi="Calibri"/>
          <w:sz w:val="21"/>
          <w:szCs w:val="21"/>
        </w:rPr>
        <w:t xml:space="preserve"> — credit, CE, dual-enrollment (minors; extra care), and online-only.</w:t>
      </w:r>
    </w:p>
    <w:p>
      <w:pPr>
        <w:pStyle w:val="ListParagraph"/>
        <w:numPr>
          <w:ilvl w:val="0"/>
          <w:numId w:val="2"/>
        </w:numPr>
        <w:spacing w:after="60"/>
      </w:pPr>
      <w:r>
        <w:rPr>
          <w:rFonts w:ascii="Calibri" w:cs="Calibri" w:eastAsia="Calibri" w:hAnsi="Calibri"/>
          <w:b/>
          <w:bCs/>
          <w:sz w:val="21"/>
          <w:szCs w:val="21"/>
        </w:rPr>
        <w:t xml:space="preserve">Faculty</w:t>
      </w:r>
      <w:r>
        <w:rPr>
          <w:rFonts w:ascii="Calibri" w:cs="Calibri" w:eastAsia="Calibri" w:hAnsi="Calibri"/>
          <w:sz w:val="21"/>
          <w:szCs w:val="21"/>
        </w:rPr>
        <w:t xml:space="preserve"> — full-time and adjunct. Adjuncts are more likely to rely on personal devices.</w:t>
      </w:r>
    </w:p>
    <w:p>
      <w:pPr>
        <w:pStyle w:val="ListParagraph"/>
        <w:numPr>
          <w:ilvl w:val="0"/>
          <w:numId w:val="2"/>
        </w:numPr>
        <w:spacing w:after="60"/>
      </w:pPr>
      <w:r>
        <w:rPr>
          <w:rFonts w:ascii="Calibri" w:cs="Calibri" w:eastAsia="Calibri" w:hAnsi="Calibri"/>
          <w:b/>
          <w:bCs/>
          <w:sz w:val="21"/>
          <w:szCs w:val="21"/>
        </w:rPr>
        <w:t xml:space="preserve">Staff and administrators</w:t>
      </w:r>
      <w:r>
        <w:rPr>
          <w:rFonts w:ascii="Calibri" w:cs="Calibri" w:eastAsia="Calibri" w:hAnsi="Calibri"/>
          <w:sz w:val="21"/>
          <w:szCs w:val="21"/>
        </w:rPr>
        <w:t xml:space="preserve"> — including elevated roles in Finance, Financial Aid, HR, and Registrar.</w:t>
      </w:r>
    </w:p>
    <w:p>
      <w:pPr>
        <w:pStyle w:val="ListParagraph"/>
        <w:numPr>
          <w:ilvl w:val="0"/>
          <w:numId w:val="2"/>
        </w:numPr>
        <w:spacing w:after="60"/>
      </w:pPr>
      <w:r>
        <w:rPr>
          <w:rFonts w:ascii="Calibri" w:cs="Calibri" w:eastAsia="Calibri" w:hAnsi="Calibri"/>
          <w:b/>
          <w:bCs/>
          <w:sz w:val="21"/>
          <w:szCs w:val="21"/>
        </w:rPr>
        <w:t xml:space="preserve">Student workers</w:t>
      </w:r>
      <w:r>
        <w:rPr>
          <w:rFonts w:ascii="Calibri" w:cs="Calibri" w:eastAsia="Calibri" w:hAnsi="Calibri"/>
          <w:sz w:val="21"/>
          <w:szCs w:val="21"/>
        </w:rPr>
        <w:t xml:space="preserve"> — easy to miss; may hold staff-level system access while also being students.</w:t>
      </w:r>
    </w:p>
    <w:p>
      <w:pPr>
        <w:pStyle w:val="ListParagraph"/>
        <w:numPr>
          <w:ilvl w:val="0"/>
          <w:numId w:val="2"/>
        </w:numPr>
        <w:spacing w:after="60"/>
      </w:pPr>
      <w:r>
        <w:rPr>
          <w:rFonts w:ascii="Calibri" w:cs="Calibri" w:eastAsia="Calibri" w:hAnsi="Calibri"/>
          <w:b/>
          <w:bCs/>
          <w:sz w:val="21"/>
          <w:szCs w:val="21"/>
        </w:rPr>
        <w:t xml:space="preserve">Privileged IT users</w:t>
      </w:r>
      <w:r>
        <w:rPr>
          <w:rFonts w:ascii="Calibri" w:cs="Calibri" w:eastAsia="Calibri" w:hAnsi="Calibri"/>
          <w:sz w:val="21"/>
          <w:szCs w:val="21"/>
        </w:rPr>
        <w:t xml:space="preserve"> — administrators and developers; separate admin accounts.</w:t>
      </w:r>
    </w:p>
    <w:p>
      <w:pPr>
        <w:pStyle w:val="ListParagraph"/>
        <w:numPr>
          <w:ilvl w:val="0"/>
          <w:numId w:val="2"/>
        </w:numPr>
        <w:spacing w:after="60"/>
      </w:pPr>
      <w:r>
        <w:rPr>
          <w:rFonts w:ascii="Calibri" w:cs="Calibri" w:eastAsia="Calibri" w:hAnsi="Calibri"/>
          <w:b/>
          <w:bCs/>
          <w:sz w:val="21"/>
          <w:szCs w:val="21"/>
        </w:rPr>
        <w:t xml:space="preserve">Contractors and vendors</w:t>
      </w:r>
      <w:r>
        <w:rPr>
          <w:rFonts w:ascii="Calibri" w:cs="Calibri" w:eastAsia="Calibri" w:hAnsi="Calibri"/>
          <w:sz w:val="21"/>
          <w:szCs w:val="21"/>
        </w:rPr>
        <w:t xml:space="preserve"> — sponsored, time-limited access.</w:t>
      </w:r>
    </w:p>
    <w:p>
      <w:pPr>
        <w:pStyle w:val="ListParagraph"/>
        <w:numPr>
          <w:ilvl w:val="0"/>
          <w:numId w:val="2"/>
        </w:numPr>
        <w:spacing w:after="60"/>
      </w:pPr>
      <w:r>
        <w:rPr>
          <w:rFonts w:ascii="Calibri" w:cs="Calibri" w:eastAsia="Calibri" w:hAnsi="Calibri"/>
          <w:b/>
          <w:bCs/>
          <w:sz w:val="21"/>
          <w:szCs w:val="21"/>
        </w:rPr>
        <w:t xml:space="preserve">Guests</w:t>
      </w:r>
      <w:r>
        <w:rPr>
          <w:rFonts w:ascii="Calibri" w:cs="Calibri" w:eastAsia="Calibri" w:hAnsi="Calibri"/>
          <w:sz w:val="21"/>
          <w:szCs w:val="21"/>
        </w:rPr>
        <w:t xml:space="preserve"> — guest Wi-Fi and event access only.</w:t>
      </w:r>
    </w:p>
    <w:p>
      <w:pPr>
        <w:spacing w:after="120" w:before="0"/>
      </w:pPr>
      <w:r>
        <w:rPr>
          <w:rFonts w:ascii="Calibri" w:cs="Calibri" w:eastAsia="Calibri" w:hAnsi="Calibri"/>
          <w:b/>
          <w:bCs/>
          <w:sz w:val="21"/>
          <w:szCs w:val="21"/>
        </w:rPr>
        <w:t xml:space="preserve">Dual roles:</w:t>
      </w:r>
      <w:r>
        <w:rPr>
          <w:rFonts w:ascii="Calibri" w:cs="Calibri" w:eastAsia="Calibri" w:hAnsi="Calibri"/>
          <w:sz w:val="21"/>
          <w:szCs w:val="21"/>
        </w:rPr>
        <w:t xml:space="preserve"> when someone is both a student and an employee, the rules for the role they're acting in apply, and employee data rules apply whenever they handle District data.</w:t>
      </w:r>
    </w:p>
    <w:p>
      <w:pPr>
        <w:pStyle w:val="Heading2"/>
        <w:spacing w:after="80" w:before="200"/>
      </w:pPr>
      <w:r>
        <w:rPr>
          <w:rFonts w:ascii="Calibri" w:cs="Calibri" w:eastAsia="Calibri" w:hAnsi="Calibri"/>
          <w:b/>
          <w:bCs/>
          <w:color w:val="2E75B6"/>
          <w:sz w:val="24"/>
          <w:szCs w:val="24"/>
        </w:rPr>
        <w:t xml:space="preserve">Device categories</w:t>
      </w:r>
    </w:p>
    <w:p>
      <w:pPr>
        <w:pStyle w:val="ListParagraph"/>
        <w:numPr>
          <w:ilvl w:val="0"/>
          <w:numId w:val="2"/>
        </w:numPr>
        <w:spacing w:after="60"/>
      </w:pPr>
      <w:r>
        <w:rPr>
          <w:rFonts w:ascii="Calibri" w:cs="Calibri" w:eastAsia="Calibri" w:hAnsi="Calibri"/>
          <w:b/>
          <w:bCs/>
          <w:sz w:val="21"/>
          <w:szCs w:val="21"/>
        </w:rPr>
        <w:t xml:space="preserve">District-managed</w:t>
      </w:r>
      <w:r>
        <w:rPr>
          <w:rFonts w:ascii="Calibri" w:cs="Calibri" w:eastAsia="Calibri" w:hAnsi="Calibri"/>
          <w:sz w:val="21"/>
          <w:szCs w:val="21"/>
        </w:rPr>
        <w:t xml:space="preserve"> — owned, enrolled in device management, encrypted, patched. Includes loaner laptops and hotspots.</w:t>
      </w:r>
    </w:p>
    <w:p>
      <w:pPr>
        <w:pStyle w:val="ListParagraph"/>
        <w:numPr>
          <w:ilvl w:val="0"/>
          <w:numId w:val="2"/>
        </w:numPr>
        <w:spacing w:after="60"/>
      </w:pPr>
      <w:r>
        <w:rPr>
          <w:rFonts w:ascii="Calibri" w:cs="Calibri" w:eastAsia="Calibri" w:hAnsi="Calibri"/>
          <w:b/>
          <w:bCs/>
          <w:sz w:val="21"/>
          <w:szCs w:val="21"/>
        </w:rPr>
        <w:t xml:space="preserve">Personal, app-protected</w:t>
      </w:r>
      <w:r>
        <w:rPr>
          <w:rFonts w:ascii="Calibri" w:cs="Calibri" w:eastAsia="Calibri" w:hAnsi="Calibri"/>
          <w:sz w:val="21"/>
          <w:szCs w:val="21"/>
        </w:rPr>
        <w:t xml:space="preserve"> — personal device where District apps run under app protection or light enrollment; District data can be wiped from the app without touching personal content.</w:t>
      </w:r>
    </w:p>
    <w:p>
      <w:pPr>
        <w:pStyle w:val="ListParagraph"/>
        <w:numPr>
          <w:ilvl w:val="0"/>
          <w:numId w:val="2"/>
        </w:numPr>
        <w:spacing w:after="60"/>
      </w:pPr>
      <w:r>
        <w:rPr>
          <w:rFonts w:ascii="Calibri" w:cs="Calibri" w:eastAsia="Calibri" w:hAnsi="Calibri"/>
          <w:b/>
          <w:bCs/>
          <w:sz w:val="21"/>
          <w:szCs w:val="21"/>
        </w:rPr>
        <w:t xml:space="preserve">Personal, unmanaged</w:t>
      </w:r>
      <w:r>
        <w:rPr>
          <w:rFonts w:ascii="Calibri" w:cs="Calibri" w:eastAsia="Calibri" w:hAnsi="Calibri"/>
          <w:sz w:val="21"/>
          <w:szCs w:val="21"/>
        </w:rPr>
        <w:t xml:space="preserve"> — any browser or phone with no District controls.</w:t>
      </w:r>
    </w:p>
    <w:p>
      <w:pPr>
        <w:pStyle w:val="ListParagraph"/>
        <w:numPr>
          <w:ilvl w:val="0"/>
          <w:numId w:val="2"/>
        </w:numPr>
        <w:spacing w:after="60"/>
      </w:pPr>
      <w:r>
        <w:rPr>
          <w:rFonts w:ascii="Calibri" w:cs="Calibri" w:eastAsia="Calibri" w:hAnsi="Calibri"/>
          <w:b/>
          <w:bCs/>
          <w:sz w:val="21"/>
          <w:szCs w:val="21"/>
        </w:rPr>
        <w:t xml:space="preserve">District shared workstation</w:t>
      </w:r>
      <w:r>
        <w:rPr>
          <w:rFonts w:ascii="Calibri" w:cs="Calibri" w:eastAsia="Calibri" w:hAnsi="Calibri"/>
          <w:sz w:val="21"/>
          <w:szCs w:val="21"/>
        </w:rPr>
        <w:t xml:space="preserve"> — labs, library, and kiosk computers the District manages and reimages.</w:t>
      </w:r>
    </w:p>
    <w:p>
      <w:pPr>
        <w:pStyle w:val="ListParagraph"/>
        <w:numPr>
          <w:ilvl w:val="0"/>
          <w:numId w:val="2"/>
        </w:numPr>
        <w:spacing w:after="60"/>
      </w:pPr>
      <w:r>
        <w:rPr>
          <w:rFonts w:ascii="Calibri" w:cs="Calibri" w:eastAsia="Calibri" w:hAnsi="Calibri"/>
          <w:b/>
          <w:bCs/>
          <w:sz w:val="21"/>
          <w:szCs w:val="21"/>
        </w:rPr>
        <w:t xml:space="preserve">Public or untrusted computer</w:t>
      </w:r>
      <w:r>
        <w:rPr>
          <w:rFonts w:ascii="Calibri" w:cs="Calibri" w:eastAsia="Calibri" w:hAnsi="Calibri"/>
          <w:sz w:val="21"/>
          <w:szCs w:val="21"/>
        </w:rPr>
        <w:t xml:space="preserve"> — hotel business centers, public libraries, someone else's PC. Never for Restricted data.</w:t>
      </w:r>
    </w:p>
    <w:p>
      <w:pPr>
        <w:pStyle w:val="Heading2"/>
        <w:spacing w:after="80" w:before="200"/>
      </w:pPr>
      <w:r>
        <w:rPr>
          <w:rFonts w:ascii="Calibri" w:cs="Calibri" w:eastAsia="Calibri" w:hAnsi="Calibri"/>
          <w:b/>
          <w:bCs/>
          <w:color w:val="2E75B6"/>
          <w:sz w:val="24"/>
          <w:szCs w:val="24"/>
        </w:rPr>
        <w:t xml:space="preserve">Publication and audience</w:t>
      </w:r>
    </w:p>
    <w:p>
      <w:pPr>
        <w:spacing w:after="120" w:before="0"/>
      </w:pPr>
      <w:r>
        <w:rPr>
          <w:rFonts w:ascii="Calibri" w:cs="Calibri" w:eastAsia="Calibri" w:hAnsi="Calibri"/>
          <w:sz w:val="21"/>
          <w:szCs w:val="21"/>
        </w:rPr>
        <w:t xml:space="preserve">Users can only follow rules they can see, but publishing technical detail helps attackers. Each standard is written in two layers:</w:t>
      </w:r>
    </w:p>
    <w:p>
      <w:pPr>
        <w:pStyle w:val="ListParagraph"/>
        <w:numPr>
          <w:ilvl w:val="0"/>
          <w:numId w:val="2"/>
        </w:numPr>
        <w:spacing w:after="60"/>
      </w:pPr>
      <w:r>
        <w:rPr>
          <w:rFonts w:ascii="Calibri" w:cs="Calibri" w:eastAsia="Calibri" w:hAnsi="Calibri"/>
          <w:b/>
          <w:bCs/>
          <w:sz w:val="21"/>
          <w:szCs w:val="21"/>
        </w:rPr>
        <w:t xml:space="preserve">Public layer</w:t>
      </w:r>
      <w:r>
        <w:rPr>
          <w:rFonts w:ascii="Calibri" w:cs="Calibri" w:eastAsia="Calibri" w:hAnsi="Calibri"/>
          <w:sz w:val="21"/>
          <w:szCs w:val="21"/>
        </w:rPr>
        <w:t xml:space="preserve"> — what users must do. Example: "Restricted data may not be saved on personal devices." Published on wcccd.edu and linked from the Student Handbook, employee onboarding, and vendor contracts.</w:t>
      </w:r>
    </w:p>
    <w:p>
      <w:pPr>
        <w:pStyle w:val="ListParagraph"/>
        <w:numPr>
          <w:ilvl w:val="0"/>
          <w:numId w:val="2"/>
        </w:numPr>
        <w:spacing w:after="60"/>
      </w:pPr>
      <w:r>
        <w:rPr>
          <w:rFonts w:ascii="Calibri" w:cs="Calibri" w:eastAsia="Calibri" w:hAnsi="Calibri"/>
          <w:b/>
          <w:bCs/>
          <w:sz w:val="21"/>
          <w:szCs w:val="21"/>
        </w:rPr>
        <w:t xml:space="preserve">Internal layer</w:t>
      </w:r>
      <w:r>
        <w:rPr>
          <w:rFonts w:ascii="Calibri" w:cs="Calibri" w:eastAsia="Calibri" w:hAnsi="Calibri"/>
          <w:sz w:val="21"/>
          <w:szCs w:val="21"/>
        </w:rPr>
        <w:t xml:space="preserve"> — how IT enforces it: conditional access and device settings, network and VPN details, the exceptions register, and the Enforced / Policy only / Planned tags. Kept in IT's restricted library and referenced by the WISP.</w:t>
      </w:r>
    </w:p>
    <w:p>
      <w:pPr>
        <w:spacing w:after="120" w:before="0"/>
      </w:pPr>
      <w:r>
        <w:rPr>
          <w:rFonts w:ascii="Calibri" w:cs="Calibri" w:eastAsia="Calibri" w:hAnsi="Calibri"/>
          <w:sz w:val="21"/>
          <w:szCs w:val="21"/>
        </w:rPr>
        <w:t xml:space="preserve">This matches peer practice. Maricopa publishes Board Policy 10.1 but keeps its ITS Directives on an internal SharePoint site. Macomb, Oakland, and Henry Ford publish their user rules. The Board policy is public in any case: it is adopted in an open meeting and is subject to FOIA.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000"/>
        <w:gridCol w:w="2560"/>
        <w:gridCol w:w="2500"/>
      </w:tblGrid>
      <w:tr>
        <w:trPr>
          <w:cantSplit/>
          <w:tblHeader/>
        </w:trPr>
        <w:tc>
          <w:tcPr>
            <w:tcW w:type="dxa" w:w="23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Document</w:t>
            </w:r>
          </w:p>
        </w:tc>
        <w:tc>
          <w:tcPr>
            <w:tcW w:type="dxa" w:w="20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Audience</w:t>
            </w:r>
          </w:p>
        </w:tc>
        <w:tc>
          <w:tcPr>
            <w:tcW w:type="dxa" w:w="256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Published where</w:t>
            </w:r>
          </w:p>
        </w:tc>
        <w:tc>
          <w:tcPr>
            <w:tcW w:type="dxa" w:w="25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Master copy</w:t>
            </w:r>
          </w:p>
        </w:tc>
      </w:tr>
      <w:tr>
        <w:trPr>
          <w:cantSplit/>
          <w:tblHeader w:val="off"/>
        </w:trPr>
        <w:tc>
          <w:tcPr>
            <w:tcW w:type="dxa" w:w="23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Board policy</w:t>
            </w:r>
          </w:p>
        </w:tc>
        <w:tc>
          <w:tcPr>
            <w:tcW w:type="dxa" w:w="20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Public</w:t>
            </w:r>
          </w:p>
        </w:tc>
        <w:tc>
          <w:tcPr>
            <w:tcW w:type="dxa" w:w="25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wcccd.edu; Board policy manual; Student Handbook; employee handbook</w:t>
            </w:r>
          </w:p>
        </w:tc>
        <w:tc>
          <w:tcPr>
            <w:tcW w:type="dxa" w:w="25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SharePoint Policy Hub</w:t>
            </w:r>
          </w:p>
        </w:tc>
      </w:tr>
      <w:tr>
        <w:trPr>
          <w:cantSplit/>
          <w:tblHeader w:val="off"/>
        </w:trPr>
        <w:tc>
          <w:tcPr>
            <w:tcW w:type="dxa" w:w="23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Standards — public layer (matrix, data handling, AI, BYOD, vendor rules)</w:t>
            </w:r>
          </w:p>
        </w:tc>
        <w:tc>
          <w:tcPr>
            <w:tcW w:type="dxa" w:w="20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Public</w:t>
            </w:r>
          </w:p>
        </w:tc>
        <w:tc>
          <w:tcPr>
            <w:tcW w:type="dxa" w:w="256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wcccd.edu IT pages; Help Desk; vendor contract exhibits</w:t>
            </w:r>
          </w:p>
        </w:tc>
        <w:tc>
          <w:tcPr>
            <w:tcW w:type="dxa" w:w="25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SharePoint Policy Hub</w:t>
            </w:r>
          </w:p>
        </w:tc>
      </w:tr>
      <w:tr>
        <w:trPr>
          <w:cantSplit/>
          <w:tblHeader w:val="off"/>
        </w:trPr>
        <w:tc>
          <w:tcPr>
            <w:tcW w:type="dxa" w:w="23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Standards — internal layer</w:t>
            </w:r>
          </w:p>
        </w:tc>
        <w:tc>
          <w:tcPr>
            <w:tcW w:type="dxa" w:w="20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IT, CISO, auditors</w:t>
            </w:r>
          </w:p>
        </w:tc>
        <w:tc>
          <w:tcPr>
            <w:tcW w:type="dxa" w:w="25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Restricted IT library</w:t>
            </w:r>
          </w:p>
        </w:tc>
        <w:tc>
          <w:tcPr>
            <w:tcW w:type="dxa" w:w="25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SharePoint Policy Hub (restricted)</w:t>
            </w:r>
          </w:p>
        </w:tc>
      </w:tr>
      <w:tr>
        <w:trPr>
          <w:cantSplit/>
          <w:tblHeader w:val="off"/>
        </w:trPr>
        <w:tc>
          <w:tcPr>
            <w:tcW w:type="dxa" w:w="23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Procedures and how-tos</w:t>
            </w:r>
          </w:p>
        </w:tc>
        <w:tc>
          <w:tcPr>
            <w:tcW w:type="dxa" w:w="20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Employees; some student-facing</w:t>
            </w:r>
          </w:p>
        </w:tc>
        <w:tc>
          <w:tcPr>
            <w:tcW w:type="dxa" w:w="256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Help Desk knowledge base; employee intranet</w:t>
            </w:r>
          </w:p>
        </w:tc>
        <w:tc>
          <w:tcPr>
            <w:tcW w:type="dxa" w:w="25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SharePoint Policy Hub</w:t>
            </w:r>
          </w:p>
        </w:tc>
      </w:tr>
      <w:tr>
        <w:trPr>
          <w:cantSplit/>
          <w:tblHeader w:val="off"/>
        </w:trPr>
        <w:tc>
          <w:tcPr>
            <w:tcW w:type="dxa" w:w="23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Exceptions register; coverage matrix</w:t>
            </w:r>
          </w:p>
        </w:tc>
        <w:tc>
          <w:tcPr>
            <w:tcW w:type="dxa" w:w="20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IT, CISO, owners</w:t>
            </w:r>
          </w:p>
        </w:tc>
        <w:tc>
          <w:tcPr>
            <w:tcW w:type="dxa" w:w="25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Internal only</w:t>
            </w:r>
          </w:p>
        </w:tc>
        <w:tc>
          <w:tcPr>
            <w:tcW w:type="dxa" w:w="25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SharePoint lists</w:t>
            </w:r>
          </w:p>
        </w:tc>
      </w:tr>
      <w:tr>
        <w:trPr>
          <w:cantSplit/>
          <w:tblHeader w:val="off"/>
        </w:trPr>
        <w:tc>
          <w:tcPr>
            <w:tcW w:type="dxa" w:w="23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This proposal and drafts</w:t>
            </w:r>
          </w:p>
        </w:tc>
        <w:tc>
          <w:tcPr>
            <w:tcW w:type="dxa" w:w="20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CIO and review group</w:t>
            </w:r>
          </w:p>
        </w:tc>
        <w:tc>
          <w:tcPr>
            <w:tcW w:type="dxa" w:w="256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Internal only</w:t>
            </w:r>
          </w:p>
        </w:tc>
        <w:tc>
          <w:tcPr>
            <w:tcW w:type="dxa" w:w="25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SharePoint review site</w:t>
            </w:r>
          </w:p>
        </w:tc>
      </w:tr>
    </w:tbl>
    <w:p>
      <w:pPr>
        <w:spacing w:after="80" w:before="0"/>
      </w:pPr>
      <w:r>
        <w:rPr>
          <w:rFonts w:ascii="Calibri" w:cs="Calibri" w:eastAsia="Calibri" w:hAnsi="Calibri"/>
          <w:sz w:val="21"/>
          <w:szCs w:val="21"/>
        </w:rPr>
        <w:t xml:space="preserve"/>
      </w:r>
    </w:p>
    <w:p>
      <w:pPr>
        <w:pStyle w:val="Heading2"/>
        <w:spacing w:after="80" w:before="200"/>
      </w:pPr>
      <w:r>
        <w:rPr>
          <w:rFonts w:ascii="Calibri" w:cs="Calibri" w:eastAsia="Calibri" w:hAnsi="Calibri"/>
          <w:b/>
          <w:bCs/>
          <w:color w:val="2E75B6"/>
          <w:sz w:val="24"/>
          <w:szCs w:val="24"/>
        </w:rPr>
        <w:t xml:space="preserve">SharePoint as the policy platform</w:t>
      </w:r>
    </w:p>
    <w:p>
      <w:pPr>
        <w:spacing w:after="120" w:before="0"/>
      </w:pPr>
      <w:r>
        <w:rPr>
          <w:rFonts w:ascii="Calibri" w:cs="Calibri" w:eastAsia="Calibri" w:hAnsi="Calibri"/>
          <w:sz w:val="21"/>
          <w:szCs w:val="21"/>
        </w:rPr>
        <w:t xml:space="preserve">The District already runs Microsoft 365, so SharePoint can carry most of the administrative work without new software. Recommended uses:</w:t>
      </w:r>
    </w:p>
    <w:p>
      <w:pPr>
        <w:pStyle w:val="ListParagraph"/>
        <w:numPr>
          <w:ilvl w:val="0"/>
          <w:numId w:val="2"/>
        </w:numPr>
        <w:spacing w:after="60"/>
      </w:pPr>
      <w:r>
        <w:rPr>
          <w:rFonts w:ascii="Calibri" w:cs="Calibri" w:eastAsia="Calibri" w:hAnsi="Calibri"/>
          <w:b/>
          <w:bCs/>
          <w:sz w:val="21"/>
          <w:szCs w:val="21"/>
        </w:rPr>
        <w:t xml:space="preserve">Policy Hub site</w:t>
      </w:r>
      <w:r>
        <w:rPr>
          <w:rFonts w:ascii="Calibri" w:cs="Calibri" w:eastAsia="Calibri" w:hAnsi="Calibri"/>
          <w:sz w:val="21"/>
          <w:szCs w:val="21"/>
        </w:rPr>
        <w:t xml:space="preserve"> — one employee-facing site that is the single source of truth. The public website links to or mirrors approved versions; nobody edits the web copy directly.</w:t>
      </w:r>
    </w:p>
    <w:p>
      <w:pPr>
        <w:pStyle w:val="ListParagraph"/>
        <w:numPr>
          <w:ilvl w:val="0"/>
          <w:numId w:val="2"/>
        </w:numPr>
        <w:spacing w:after="60"/>
      </w:pPr>
      <w:r>
        <w:rPr>
          <w:rFonts w:ascii="Calibri" w:cs="Calibri" w:eastAsia="Calibri" w:hAnsi="Calibri"/>
          <w:b/>
          <w:bCs/>
          <w:sz w:val="21"/>
          <w:szCs w:val="21"/>
        </w:rPr>
        <w:t xml:space="preserve">Policy library with metadata</w:t>
      </w:r>
      <w:r>
        <w:rPr>
          <w:rFonts w:ascii="Calibri" w:cs="Calibri" w:eastAsia="Calibri" w:hAnsi="Calibri"/>
          <w:sz w:val="21"/>
          <w:szCs w:val="21"/>
        </w:rPr>
        <w:t xml:space="preserve"> — columns for tier, owner, audience (Public / Internal), effective date, next review date, and status (Draft / In review / Approved / Retired). Filtered views give each owner their own documents.</w:t>
      </w:r>
    </w:p>
    <w:p>
      <w:pPr>
        <w:pStyle w:val="ListParagraph"/>
        <w:numPr>
          <w:ilvl w:val="0"/>
          <w:numId w:val="2"/>
        </w:numPr>
        <w:spacing w:after="60"/>
      </w:pPr>
      <w:r>
        <w:rPr>
          <w:rFonts w:ascii="Calibri" w:cs="Calibri" w:eastAsia="Calibri" w:hAnsi="Calibri"/>
          <w:b/>
          <w:bCs/>
          <w:sz w:val="21"/>
          <w:szCs w:val="21"/>
        </w:rPr>
        <w:t xml:space="preserve">Versioning and approval</w:t>
      </w:r>
      <w:r>
        <w:rPr>
          <w:rFonts w:ascii="Calibri" w:cs="Calibri" w:eastAsia="Calibri" w:hAnsi="Calibri"/>
          <w:sz w:val="21"/>
          <w:szCs w:val="21"/>
        </w:rPr>
        <w:t xml:space="preserve"> — major/minor versions and content approval, so only approved versions are visible to readers and every change has a history. Retired versions are kept under a retention label for audit.</w:t>
      </w:r>
    </w:p>
    <w:p>
      <w:pPr>
        <w:pStyle w:val="ListParagraph"/>
        <w:numPr>
          <w:ilvl w:val="0"/>
          <w:numId w:val="2"/>
        </w:numPr>
        <w:spacing w:after="60"/>
      </w:pPr>
      <w:r>
        <w:rPr>
          <w:rFonts w:ascii="Calibri" w:cs="Calibri" w:eastAsia="Calibri" w:hAnsi="Calibri"/>
          <w:b/>
          <w:bCs/>
          <w:sz w:val="21"/>
          <w:szCs w:val="21"/>
        </w:rPr>
        <w:t xml:space="preserve">Review reminders</w:t>
      </w:r>
      <w:r>
        <w:rPr>
          <w:rFonts w:ascii="Calibri" w:cs="Calibri" w:eastAsia="Calibri" w:hAnsi="Calibri"/>
          <w:sz w:val="21"/>
          <w:szCs w:val="21"/>
        </w:rPr>
        <w:t xml:space="preserve"> — a Power Automate flow emails each owner 60 days before the next review date. This is what keeps the annual review cycle from slipping.</w:t>
      </w:r>
    </w:p>
    <w:p>
      <w:pPr>
        <w:pStyle w:val="ListParagraph"/>
        <w:numPr>
          <w:ilvl w:val="0"/>
          <w:numId w:val="2"/>
        </w:numPr>
        <w:spacing w:after="60"/>
      </w:pPr>
      <w:r>
        <w:rPr>
          <w:rFonts w:ascii="Calibri" w:cs="Calibri" w:eastAsia="Calibri" w:hAnsi="Calibri"/>
          <w:b/>
          <w:bCs/>
          <w:sz w:val="21"/>
          <w:szCs w:val="21"/>
        </w:rPr>
        <w:t xml:space="preserve">Exceptions register as a SharePoint list</w:t>
      </w:r>
      <w:r>
        <w:rPr>
          <w:rFonts w:ascii="Calibri" w:cs="Calibri" w:eastAsia="Calibri" w:hAnsi="Calibri"/>
          <w:sz w:val="21"/>
          <w:szCs w:val="21"/>
        </w:rPr>
        <w:t xml:space="preserve"> — request form, supervisor and CISO approval flow, and automatic alerts 30 days before an exception expires.</w:t>
      </w:r>
    </w:p>
    <w:p>
      <w:pPr>
        <w:pStyle w:val="ListParagraph"/>
        <w:numPr>
          <w:ilvl w:val="0"/>
          <w:numId w:val="2"/>
        </w:numPr>
        <w:spacing w:after="60"/>
      </w:pPr>
      <w:r>
        <w:rPr>
          <w:rFonts w:ascii="Calibri" w:cs="Calibri" w:eastAsia="Calibri" w:hAnsi="Calibri"/>
          <w:b/>
          <w:bCs/>
          <w:sz w:val="21"/>
          <w:szCs w:val="21"/>
        </w:rPr>
        <w:t xml:space="preserve">Approved AI tools list</w:t>
      </w:r>
      <w:r>
        <w:rPr>
          <w:rFonts w:ascii="Calibri" w:cs="Calibri" w:eastAsia="Calibri" w:hAnsi="Calibri"/>
          <w:sz w:val="21"/>
          <w:szCs w:val="21"/>
        </w:rPr>
        <w:t xml:space="preserve"> — a SharePoint list every employee can read and IT and the AI Working Group can edit; surfaced as a tab in Teams so staff can check it in seconds.</w:t>
      </w:r>
    </w:p>
    <w:p>
      <w:pPr>
        <w:pStyle w:val="ListParagraph"/>
        <w:numPr>
          <w:ilvl w:val="0"/>
          <w:numId w:val="2"/>
        </w:numPr>
        <w:spacing w:after="60"/>
      </w:pPr>
      <w:r>
        <w:rPr>
          <w:rFonts w:ascii="Calibri" w:cs="Calibri" w:eastAsia="Calibri" w:hAnsi="Calibri"/>
          <w:b/>
          <w:bCs/>
          <w:sz w:val="21"/>
          <w:szCs w:val="21"/>
        </w:rPr>
        <w:t xml:space="preserve">Coverage matrix as a list</w:t>
      </w:r>
      <w:r>
        <w:rPr>
          <w:rFonts w:ascii="Calibri" w:cs="Calibri" w:eastAsia="Calibri" w:hAnsi="Calibri"/>
          <w:sz w:val="21"/>
          <w:szCs w:val="21"/>
        </w:rPr>
        <w:t xml:space="preserve"> — Appendix A moves into a list so owners update status themselves instead of through emailed spreadsheets.</w:t>
      </w:r>
    </w:p>
    <w:p>
      <w:pPr>
        <w:pStyle w:val="ListParagraph"/>
        <w:numPr>
          <w:ilvl w:val="0"/>
          <w:numId w:val="2"/>
        </w:numPr>
        <w:spacing w:after="60"/>
      </w:pPr>
      <w:r>
        <w:rPr>
          <w:rFonts w:ascii="Calibri" w:cs="Calibri" w:eastAsia="Calibri" w:hAnsi="Calibri"/>
          <w:b/>
          <w:bCs/>
          <w:sz w:val="21"/>
          <w:szCs w:val="21"/>
        </w:rPr>
        <w:t xml:space="preserve">Stakeholder review</w:t>
      </w:r>
      <w:r>
        <w:rPr>
          <w:rFonts w:ascii="Calibri" w:cs="Calibri" w:eastAsia="Calibri" w:hAnsi="Calibri"/>
          <w:sz w:val="21"/>
          <w:szCs w:val="21"/>
        </w:rPr>
        <w:t xml:space="preserve"> — during Phase 3, General Counsel, HR, faculty, and Student Services comment on drafts in place with co-authoring, instead of circulating attachments.</w:t>
      </w:r>
    </w:p>
    <w:p>
      <w:pPr>
        <w:pStyle w:val="ListParagraph"/>
        <w:numPr>
          <w:ilvl w:val="0"/>
          <w:numId w:val="2"/>
        </w:numPr>
        <w:spacing w:after="60"/>
      </w:pPr>
      <w:r>
        <w:rPr>
          <w:rFonts w:ascii="Calibri" w:cs="Calibri" w:eastAsia="Calibri" w:hAnsi="Calibri"/>
          <w:b/>
          <w:bCs/>
          <w:sz w:val="21"/>
          <w:szCs w:val="21"/>
        </w:rPr>
        <w:t xml:space="preserve">Permissions</w:t>
      </w:r>
      <w:r>
        <w:rPr>
          <w:rFonts w:ascii="Calibri" w:cs="Calibri" w:eastAsia="Calibri" w:hAnsi="Calibri"/>
          <w:sz w:val="21"/>
          <w:szCs w:val="21"/>
        </w:rPr>
        <w:t xml:space="preserve"> — internal-layer documents sit in a separate library restricted to IT and the CISO, with sensitivity labels applied.</w:t>
      </w:r>
    </w:p>
    <w:p>
      <w:pPr>
        <w:pStyle w:val="ListParagraph"/>
        <w:numPr>
          <w:ilvl w:val="0"/>
          <w:numId w:val="2"/>
        </w:numPr>
        <w:spacing w:after="60"/>
      </w:pPr>
      <w:r>
        <w:rPr>
          <w:rFonts w:ascii="Calibri" w:cs="Calibri" w:eastAsia="Calibri" w:hAnsi="Calibri"/>
          <w:b/>
          <w:bCs/>
          <w:sz w:val="21"/>
          <w:szCs w:val="21"/>
        </w:rPr>
        <w:t xml:space="preserve">Acknowledgment</w:t>
      </w:r>
      <w:r>
        <w:rPr>
          <w:rFonts w:ascii="Calibri" w:cs="Calibri" w:eastAsia="Calibri" w:hAnsi="Calibri"/>
          <w:sz w:val="21"/>
          <w:szCs w:val="21"/>
        </w:rPr>
        <w:t xml:space="preserve"> — record annual acknowledgments through the security training platform or Microsoft Forms with a Power Automate flow that logs to a list. Confirm which is simpler to report on.</w:t>
      </w:r>
    </w:p>
    <w:p>
      <w:pPr>
        <w:spacing w:after="120" w:before="0"/>
      </w:pPr>
      <w:r>
        <w:rPr>
          <w:rFonts w:ascii="Calibri" w:cs="Calibri" w:eastAsia="Calibri" w:hAnsi="Calibri"/>
          <w:b/>
          <w:bCs/>
          <w:sz w:val="21"/>
          <w:szCs w:val="21"/>
        </w:rPr>
        <w:t xml:space="preserve">Optional, later:</w:t>
      </w:r>
      <w:r>
        <w:rPr>
          <w:rFonts w:ascii="Calibri" w:cs="Calibri" w:eastAsia="Calibri" w:hAnsi="Calibri"/>
          <w:sz w:val="21"/>
          <w:szCs w:val="21"/>
        </w:rPr>
        <w:t xml:space="preserve"> a well-tagged Policy Hub lets Copilot answer questions like "Can I use this AI tool with student data?" from approved policy text. Copilot respects SharePoint permissions, so the internal layer stays hidden from general staff. This depends on Copilot licensing and should come after the library is clean.</w:t>
      </w:r>
    </w:p>
    <w:p>
      <w:pPr>
        <w:spacing w:after="120" w:before="0"/>
      </w:pPr>
      <w:r>
        <w:rPr>
          <w:rFonts w:ascii="Calibri" w:cs="Calibri" w:eastAsia="Calibri" w:hAnsi="Calibri"/>
          <w:b/>
          <w:bCs/>
          <w:sz w:val="21"/>
          <w:szCs w:val="21"/>
        </w:rPr>
        <w:t xml:space="preserve">What SharePoint should not do:</w:t>
      </w:r>
      <w:r>
        <w:rPr>
          <w:rFonts w:ascii="Calibri" w:cs="Calibri" w:eastAsia="Calibri" w:hAnsi="Calibri"/>
          <w:sz w:val="21"/>
          <w:szCs w:val="21"/>
        </w:rPr>
        <w:t xml:space="preserve"> students and the public get the policy from wcccd.edu, not SharePoint. Not every student has reason to sign in, and vendors and guests don't have accounts.</w:t>
      </w:r>
    </w:p>
    <w:p>
      <w:pPr>
        <w:sectPr>
          <w:footerReference w:type="default" r:id="rId6"/>
          <w:pgSz w:w="12240" w:h="15840" w:orient="portrait"/>
          <w:pgMar w:top="1260" w:right="1440" w:bottom="1260" w:left="1440" w:header="708" w:footer="708" w:gutter="0"/>
          <w:pgNumType/>
          <w:docGrid w:linePitch="360"/>
        </w:sectPr>
      </w:pPr>
    </w:p>
    <w:p>
      <w:pPr>
        <w:pStyle w:val="Heading1"/>
        <w:pBdr>
          <w:bottom w:val="single" w:color="2E75B6" w:sz="8" w:space="2"/>
        </w:pBdr>
        <w:spacing w:after="120" w:before="280"/>
      </w:pPr>
      <w:r>
        <w:rPr>
          <w:rFonts w:ascii="Calibri" w:cs="Calibri" w:eastAsia="Calibri" w:hAnsi="Calibri"/>
          <w:b/>
          <w:bCs/>
          <w:color w:val="1F3864"/>
          <w:sz w:val="30"/>
          <w:szCs w:val="30"/>
        </w:rPr>
        <w:t xml:space="preserve">6. Draft Access Matrix</w:t>
      </w:r>
    </w:p>
    <w:p>
      <w:pPr>
        <w:spacing w:after="120" w:before="0"/>
      </w:pPr>
      <w:r>
        <w:rPr>
          <w:rFonts w:ascii="Calibri" w:cs="Calibri" w:eastAsia="Calibri" w:hAnsi="Calibri"/>
          <w:sz w:val="21"/>
          <w:szCs w:val="21"/>
        </w:rPr>
        <w:t xml:space="preserve">These are proposed defaults to start the discussion, not current WCCCD configuration. Yellow cells are decisions the CIO and CISO need to make. Device enforcement assumes conditional access and app protection (for example, Microsoft Intune) are available under current licensing — confirm before committing.</w:t>
      </w:r>
    </w:p>
    <w:p>
      <w:pPr>
        <w:spacing w:after="120" w:before="0"/>
      </w:pPr>
      <w:r>
        <w:rPr>
          <w:rFonts w:ascii="Calibri" w:cs="Calibri" w:eastAsia="Calibri" w:hAnsi="Calibri"/>
          <w:b/>
          <w:bCs/>
          <w:sz w:val="21"/>
          <w:szCs w:val="21"/>
        </w:rPr>
        <w:t xml:space="preserve">Enforced vs. proposed:</w:t>
      </w:r>
      <w:r>
        <w:rPr>
          <w:rFonts w:ascii="Calibri" w:cs="Calibri" w:eastAsia="Calibri" w:hAnsi="Calibri"/>
          <w:sz w:val="21"/>
          <w:szCs w:val="21"/>
        </w:rPr>
        <w:t xml:space="preserve"> every cell below is proposed. In Phase 1, IT marks each one </w:t>
      </w:r>
      <w:r>
        <w:rPr>
          <w:rFonts w:ascii="Calibri" w:cs="Calibri" w:eastAsia="Calibri" w:hAnsi="Calibri"/>
          <w:b/>
          <w:bCs/>
          <w:sz w:val="21"/>
          <w:szCs w:val="21"/>
        </w:rPr>
        <w:t xml:space="preserve">Enforced today</w:t>
      </w:r>
      <w:r>
        <w:rPr>
          <w:rFonts w:ascii="Calibri" w:cs="Calibri" w:eastAsia="Calibri" w:hAnsi="Calibri"/>
          <w:sz w:val="21"/>
          <w:szCs w:val="21"/>
        </w:rPr>
        <w:t xml:space="preserve"> (a technical control already does it), </w:t>
      </w:r>
      <w:r>
        <w:rPr>
          <w:rFonts w:ascii="Calibri" w:cs="Calibri" w:eastAsia="Calibri" w:hAnsi="Calibri"/>
          <w:b/>
          <w:bCs/>
          <w:sz w:val="21"/>
          <w:szCs w:val="21"/>
        </w:rPr>
        <w:t xml:space="preserve">Policy only</w:t>
      </w:r>
      <w:r>
        <w:rPr>
          <w:rFonts w:ascii="Calibri" w:cs="Calibri" w:eastAsia="Calibri" w:hAnsi="Calibri"/>
          <w:sz w:val="21"/>
          <w:szCs w:val="21"/>
        </w:rPr>
        <w:t xml:space="preserve"> (written rule, no control), or </w:t>
      </w:r>
      <w:r>
        <w:rPr>
          <w:rFonts w:ascii="Calibri" w:cs="Calibri" w:eastAsia="Calibri" w:hAnsi="Calibri"/>
          <w:b/>
          <w:bCs/>
          <w:sz w:val="21"/>
          <w:szCs w:val="21"/>
        </w:rPr>
        <w:t xml:space="preserve">Planned</w:t>
      </w:r>
      <w:r>
        <w:rPr>
          <w:rFonts w:ascii="Calibri" w:cs="Calibri" w:eastAsia="Calibri" w:hAnsi="Calibri"/>
          <w:sz w:val="21"/>
          <w:szCs w:val="21"/>
        </w:rPr>
        <w:t xml:space="preserve"> (needs configuration or licensing). That status stays in the internal layer (Section 5) so IT and auditors can tell a rule from a control; the public layer shows only the rule.</w:t>
      </w:r>
    </w:p>
    <w:p>
      <w:pPr>
        <w:spacing w:after="120" w:before="0"/>
      </w:pPr>
      <w:r>
        <w:rPr>
          <w:rFonts w:ascii="Calibri" w:cs="Calibri" w:eastAsia="Calibri" w:hAnsi="Calibri"/>
          <w:b/>
          <w:bCs/>
          <w:sz w:val="21"/>
          <w:szCs w:val="21"/>
        </w:rPr>
        <w:t xml:space="preserve">Authorization still applies:</w:t>
      </w:r>
      <w:r>
        <w:rPr>
          <w:rFonts w:ascii="Calibri" w:cs="Calibri" w:eastAsia="Calibri" w:hAnsi="Calibri"/>
          <w:sz w:val="21"/>
          <w:szCs w:val="21"/>
        </w:rPr>
        <w:t xml:space="preserve"> a cell shows the most a device allows. Every connection also requires an authorized account, the right permissions in that system, and a business or academic purpose. Shared workstations and public computers follow the "Personal, unmanaged" column in 6C, with sign-out required; public computers are never used for Restricted data.</w:t>
      </w:r>
    </w:p>
    <w:p>
      <w:pPr>
        <w:pStyle w:val="Heading2"/>
        <w:spacing w:after="80" w:before="200"/>
      </w:pPr>
      <w:r>
        <w:rPr>
          <w:rFonts w:ascii="Calibri" w:cs="Calibri" w:eastAsia="Calibri" w:hAnsi="Calibri"/>
          <w:b/>
          <w:bCs/>
          <w:color w:val="2E75B6"/>
          <w:sz w:val="24"/>
          <w:szCs w:val="24"/>
        </w:rPr>
        <w:t xml:space="preserve">6A. Data classes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6000"/>
        <w:gridCol w:w="5880"/>
      </w:tblGrid>
      <w:tr>
        <w:trPr>
          <w:cantSplit/>
          <w:tblHeader/>
        </w:trPr>
        <w:tc>
          <w:tcPr>
            <w:tcW w:type="dxa" w:w="18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Class</w:t>
            </w:r>
          </w:p>
        </w:tc>
        <w:tc>
          <w:tcPr>
            <w:tcW w:type="dxa" w:w="60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Examples</w:t>
            </w:r>
          </w:p>
        </w:tc>
        <w:tc>
          <w:tcPr>
            <w:tcW w:type="dxa" w:w="588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Baseline rule</w:t>
            </w:r>
          </w:p>
        </w:tc>
      </w:tr>
      <w:tr>
        <w:trPr>
          <w:cantSplit/>
          <w:tblHeader w:val="off"/>
        </w:trPr>
        <w:tc>
          <w:tcPr>
            <w:tcW w:type="dxa" w:w="18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Public</w:t>
            </w:r>
          </w:p>
        </w:tc>
        <w:tc>
          <w:tcPr>
            <w:tcW w:type="dxa" w:w="60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Catalog, schedules, published web content, press releases</w:t>
            </w:r>
          </w:p>
        </w:tc>
        <w:tc>
          <w:tcPr>
            <w:tcW w:type="dxa" w:w="588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No restriction beyond normal conduct rules.</w:t>
            </w:r>
          </w:p>
        </w:tc>
      </w:tr>
      <w:tr>
        <w:trPr>
          <w:cantSplit/>
          <w:tblHeader w:val="off"/>
        </w:trPr>
        <w:tc>
          <w:tcPr>
            <w:tcW w:type="dxa" w:w="18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Internal</w:t>
            </w:r>
          </w:p>
        </w:tc>
        <w:tc>
          <w:tcPr>
            <w:tcW w:type="dxa" w:w="60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Internal email, procedures, budgets in draft, non-sensitive reports, meeting recordings</w:t>
            </w:r>
          </w:p>
        </w:tc>
        <w:tc>
          <w:tcPr>
            <w:tcW w:type="dxa" w:w="588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District accounts and approved storage (OneDrive/SharePoint) only. No personal email or personal cloud.</w:t>
            </w:r>
          </w:p>
        </w:tc>
      </w:tr>
      <w:tr>
        <w:trPr>
          <w:cantSplit/>
          <w:tblHeader w:val="off"/>
        </w:trPr>
        <w:tc>
          <w:tcPr>
            <w:tcW w:type="dxa" w:w="18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Restricted</w:t>
            </w:r>
          </w:p>
        </w:tc>
        <w:tc>
          <w:tcPr>
            <w:tcW w:type="dxa" w:w="60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FERPA records, financial aid and GLBA data, SSNs, payment card data, HR and health records, credentials, security configurations</w:t>
            </w:r>
          </w:p>
        </w:tc>
        <w:tc>
          <w:tcPr>
            <w:tcW w:type="dxa" w:w="588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Approved systems only. Encrypted in transit and at rest. No local copies on personal devices. No public AI tools. Least-privilege access with MFA.</w:t>
            </w:r>
          </w:p>
        </w:tc>
      </w:tr>
    </w:tbl>
    <w:p>
      <w:pPr>
        <w:spacing w:after="80" w:before="0"/>
      </w:pPr>
      <w:r>
        <w:rPr>
          <w:rFonts w:ascii="Calibri" w:cs="Calibri" w:eastAsia="Calibri" w:hAnsi="Calibri"/>
          <w:sz w:val="21"/>
          <w:szCs w:val="21"/>
        </w:rPr>
        <w:t xml:space="preserve"/>
      </w:r>
    </w:p>
    <w:p>
      <w:pPr>
        <w:pStyle w:val="Heading2"/>
        <w:spacing w:after="80" w:before="200"/>
      </w:pPr>
      <w:r>
        <w:rPr>
          <w:rFonts w:ascii="Calibri" w:cs="Calibri" w:eastAsia="Calibri" w:hAnsi="Calibri"/>
          <w:b/>
          <w:bCs/>
          <w:color w:val="2E75B6"/>
          <w:sz w:val="24"/>
          <w:szCs w:val="24"/>
        </w:rPr>
        <w:t xml:space="preserve">6B. Persona × device — highest data class allowed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0"/>
        <w:gridCol w:w="2280"/>
        <w:gridCol w:w="2280"/>
        <w:gridCol w:w="2280"/>
        <w:gridCol w:w="2280"/>
        <w:gridCol w:w="2280"/>
      </w:tblGrid>
      <w:tr>
        <w:trPr>
          <w:cantSplit/>
          <w:tblHeader/>
        </w:trPr>
        <w:tc>
          <w:tcPr>
            <w:tcW w:type="dxa" w:w="228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Persona</w:t>
            </w:r>
          </w:p>
        </w:tc>
        <w:tc>
          <w:tcPr>
            <w:tcW w:type="dxa" w:w="228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District-managed</w:t>
            </w:r>
          </w:p>
        </w:tc>
        <w:tc>
          <w:tcPr>
            <w:tcW w:type="dxa" w:w="228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Personal, app-protected</w:t>
            </w:r>
          </w:p>
        </w:tc>
        <w:tc>
          <w:tcPr>
            <w:tcW w:type="dxa" w:w="228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Personal, unmanaged</w:t>
            </w:r>
          </w:p>
        </w:tc>
        <w:tc>
          <w:tcPr>
            <w:tcW w:type="dxa" w:w="228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District shared workstation</w:t>
            </w:r>
          </w:p>
        </w:tc>
        <w:tc>
          <w:tcPr>
            <w:tcW w:type="dxa" w:w="228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Public / untrusted computer</w:t>
            </w:r>
          </w:p>
        </w:tc>
      </w:tr>
      <w:tr>
        <w:trPr>
          <w:cantSplit/>
          <w:tblHeader w:val="off"/>
        </w:trPr>
        <w:tc>
          <w:tcPr>
            <w:tcW w:type="dxa" w:w="228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Student</w:t>
            </w:r>
          </w:p>
        </w:tc>
        <w:tc>
          <w:tcPr>
            <w:tcW w:type="dxa" w:w="228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Internal (labs)</w:t>
            </w:r>
          </w:p>
        </w:tc>
        <w:tc>
          <w:tcPr>
            <w:tcW w:type="dxa" w:w="228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Own records + coursework</w:t>
            </w:r>
          </w:p>
        </w:tc>
        <w:tc>
          <w:tcPr>
            <w:tcW w:type="dxa" w:w="228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Own records + coursework</w:t>
            </w:r>
          </w:p>
        </w:tc>
        <w:tc>
          <w:tcPr>
            <w:tcW w:type="dxa" w:w="228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Own records + coursework; sign out</w:t>
            </w:r>
          </w:p>
        </w:tc>
        <w:tc>
          <w:tcPr>
            <w:tcW w:type="dxa" w:w="228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Own records via browser; sign out; no downloads</w:t>
            </w:r>
          </w:p>
        </w:tc>
      </w:tr>
      <w:tr>
        <w:trPr>
          <w:cantSplit/>
          <w:tblHeader w:val="off"/>
        </w:trPr>
        <w:tc>
          <w:tcPr>
            <w:tcW w:type="dxa" w:w="228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Faculty</w:t>
            </w:r>
          </w:p>
        </w:tc>
        <w:tc>
          <w:tcPr>
            <w:tcW w:type="dxa" w:w="228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Restricted</w:t>
            </w:r>
          </w:p>
        </w:tc>
        <w:tc>
          <w:tcPr>
            <w:tcW w:type="dxa" w:w="228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Restricted in apps only (view/grade); no downloads</w:t>
            </w:r>
          </w:p>
        </w:tc>
        <w:tc>
          <w:tcPr>
            <w:tcW w:type="dxa" w:w="2280"/>
            <w:shd w:fill="FFF2CC" w:color="auto" w:val="clear"/>
            <w:tcMar>
              <w:top w:type="dxa" w:w="60"/>
              <w:left w:type="dxa" w:w="90"/>
              <w:bottom w:type="dxa" w:w="60"/>
              <w:right w:type="dxa" w:w="90"/>
            </w:tcMar>
          </w:tcPr>
          <w:p>
            <w:pPr>
              <w:spacing w:after="20"/>
            </w:pPr>
            <w:r>
              <w:rPr>
                <w:rFonts w:ascii="Calibri" w:cs="Calibri" w:eastAsia="Calibri" w:hAnsi="Calibri"/>
                <w:sz w:val="17"/>
                <w:szCs w:val="17"/>
              </w:rPr>
              <w:t xml:space="preserve">Internal via browser, or own records only?</w:t>
            </w:r>
          </w:p>
        </w:tc>
        <w:tc>
          <w:tcPr>
            <w:tcW w:type="dxa" w:w="228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Internal; no Restricted</w:t>
            </w:r>
          </w:p>
        </w:tc>
        <w:tc>
          <w:tcPr>
            <w:tcW w:type="dxa" w:w="228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Email and Blackboard via browser; no Restricted</w:t>
            </w:r>
          </w:p>
        </w:tc>
      </w:tr>
      <w:tr>
        <w:trPr>
          <w:cantSplit/>
          <w:tblHeader w:val="off"/>
        </w:trPr>
        <w:tc>
          <w:tcPr>
            <w:tcW w:type="dxa" w:w="228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Staff / admin</w:t>
            </w:r>
          </w:p>
        </w:tc>
        <w:tc>
          <w:tcPr>
            <w:tcW w:type="dxa" w:w="228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Restricted</w:t>
            </w:r>
          </w:p>
        </w:tc>
        <w:tc>
          <w:tcPr>
            <w:tcW w:type="dxa" w:w="2280"/>
            <w:shd w:fill="FFF2CC" w:color="auto" w:val="clear"/>
            <w:tcMar>
              <w:top w:type="dxa" w:w="60"/>
              <w:left w:type="dxa" w:w="90"/>
              <w:bottom w:type="dxa" w:w="60"/>
              <w:right w:type="dxa" w:w="90"/>
            </w:tcMar>
          </w:tcPr>
          <w:p>
            <w:pPr>
              <w:spacing w:after="20"/>
            </w:pPr>
            <w:r>
              <w:rPr>
                <w:rFonts w:ascii="Calibri" w:cs="Calibri" w:eastAsia="Calibri" w:hAnsi="Calibri"/>
                <w:sz w:val="17"/>
                <w:szCs w:val="17"/>
              </w:rPr>
              <w:t xml:space="preserve">Internal; Restricted view-only in apps?</w:t>
            </w:r>
          </w:p>
        </w:tc>
        <w:tc>
          <w:tcPr>
            <w:tcW w:type="dxa" w:w="228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Public + email via browser only</w:t>
            </w:r>
          </w:p>
        </w:tc>
        <w:tc>
          <w:tcPr>
            <w:tcW w:type="dxa" w:w="228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Internal; no Restricted</w:t>
            </w:r>
          </w:p>
        </w:tc>
        <w:tc>
          <w:tcPr>
            <w:tcW w:type="dxa" w:w="228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Not permitted for District work</w:t>
            </w:r>
          </w:p>
        </w:tc>
      </w:tr>
      <w:tr>
        <w:trPr>
          <w:cantSplit/>
          <w:tblHeader w:val="off"/>
        </w:trPr>
        <w:tc>
          <w:tcPr>
            <w:tcW w:type="dxa" w:w="228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Student worker</w:t>
            </w:r>
          </w:p>
        </w:tc>
        <w:tc>
          <w:tcPr>
            <w:tcW w:type="dxa" w:w="228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Restricted (per role)</w:t>
            </w:r>
          </w:p>
        </w:tc>
        <w:tc>
          <w:tcPr>
            <w:tcW w:type="dxa" w:w="2280"/>
            <w:shd w:fill="FFF2CC" w:color="auto" w:val="clear"/>
            <w:tcMar>
              <w:top w:type="dxa" w:w="60"/>
              <w:left w:type="dxa" w:w="90"/>
              <w:bottom w:type="dxa" w:w="60"/>
              <w:right w:type="dxa" w:w="90"/>
            </w:tcMar>
          </w:tcPr>
          <w:p>
            <w:pPr>
              <w:spacing w:after="20"/>
            </w:pPr>
            <w:r>
              <w:rPr>
                <w:rFonts w:ascii="Calibri" w:cs="Calibri" w:eastAsia="Calibri" w:hAnsi="Calibri"/>
                <w:sz w:val="17"/>
                <w:szCs w:val="17"/>
              </w:rPr>
              <w:t xml:space="preserve">Internal only?</w:t>
            </w:r>
          </w:p>
        </w:tc>
        <w:tc>
          <w:tcPr>
            <w:tcW w:type="dxa" w:w="228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Not permitted for District work</w:t>
            </w:r>
          </w:p>
        </w:tc>
        <w:tc>
          <w:tcPr>
            <w:tcW w:type="dxa" w:w="2280"/>
            <w:shd w:fill="FFF2CC" w:color="auto" w:val="clear"/>
            <w:tcMar>
              <w:top w:type="dxa" w:w="60"/>
              <w:left w:type="dxa" w:w="90"/>
              <w:bottom w:type="dxa" w:w="60"/>
              <w:right w:type="dxa" w:w="90"/>
            </w:tcMar>
          </w:tcPr>
          <w:p>
            <w:pPr>
              <w:spacing w:after="20"/>
            </w:pPr>
            <w:r>
              <w:rPr>
                <w:rFonts w:ascii="Calibri" w:cs="Calibri" w:eastAsia="Calibri" w:hAnsi="Calibri"/>
                <w:sz w:val="17"/>
                <w:szCs w:val="17"/>
              </w:rPr>
              <w:t xml:space="preserve">Internal per role?</w:t>
            </w:r>
          </w:p>
        </w:tc>
        <w:tc>
          <w:tcPr>
            <w:tcW w:type="dxa" w:w="228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Not permitted for District work</w:t>
            </w:r>
          </w:p>
        </w:tc>
      </w:tr>
      <w:tr>
        <w:trPr>
          <w:cantSplit/>
          <w:tblHeader w:val="off"/>
        </w:trPr>
        <w:tc>
          <w:tcPr>
            <w:tcW w:type="dxa" w:w="228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Privileged IT</w:t>
            </w:r>
          </w:p>
        </w:tc>
        <w:tc>
          <w:tcPr>
            <w:tcW w:type="dxa" w:w="228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Restricted; separate admin account; managed device only</w:t>
            </w:r>
          </w:p>
        </w:tc>
        <w:tc>
          <w:tcPr>
            <w:tcW w:type="dxa" w:w="228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Not permitted for admin tasks</w:t>
            </w:r>
          </w:p>
        </w:tc>
        <w:tc>
          <w:tcPr>
            <w:tcW w:type="dxa" w:w="228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Not permitted</w:t>
            </w:r>
          </w:p>
        </w:tc>
        <w:tc>
          <w:tcPr>
            <w:tcW w:type="dxa" w:w="228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Not permitted</w:t>
            </w:r>
          </w:p>
        </w:tc>
        <w:tc>
          <w:tcPr>
            <w:tcW w:type="dxa" w:w="228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Not permitted</w:t>
            </w:r>
          </w:p>
        </w:tc>
      </w:tr>
      <w:tr>
        <w:trPr>
          <w:cantSplit/>
          <w:tblHeader w:val="off"/>
        </w:trPr>
        <w:tc>
          <w:tcPr>
            <w:tcW w:type="dxa" w:w="228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Contractor / vendor</w:t>
            </w:r>
          </w:p>
        </w:tc>
        <w:tc>
          <w:tcPr>
            <w:tcW w:type="dxa" w:w="228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Per contract</w:t>
            </w:r>
          </w:p>
        </w:tc>
        <w:tc>
          <w:tcPr>
            <w:tcW w:type="dxa" w:w="2280"/>
            <w:shd w:fill="FFF2CC" w:color="auto" w:val="clear"/>
            <w:tcMar>
              <w:top w:type="dxa" w:w="60"/>
              <w:left w:type="dxa" w:w="90"/>
              <w:bottom w:type="dxa" w:w="60"/>
              <w:right w:type="dxa" w:w="90"/>
            </w:tcMar>
          </w:tcPr>
          <w:p>
            <w:pPr>
              <w:spacing w:after="20"/>
            </w:pPr>
            <w:r>
              <w:rPr>
                <w:rFonts w:ascii="Calibri" w:cs="Calibri" w:eastAsia="Calibri" w:hAnsi="Calibri"/>
                <w:sz w:val="17"/>
                <w:szCs w:val="17"/>
              </w:rPr>
              <w:t xml:space="preserve">Per contract; HECVAT on file</w:t>
            </w:r>
          </w:p>
        </w:tc>
        <w:tc>
          <w:tcPr>
            <w:tcW w:type="dxa" w:w="228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Not permitted for Restricted</w:t>
            </w:r>
          </w:p>
        </w:tc>
        <w:tc>
          <w:tcPr>
            <w:tcW w:type="dxa" w:w="228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Not permitted</w:t>
            </w:r>
          </w:p>
        </w:tc>
        <w:tc>
          <w:tcPr>
            <w:tcW w:type="dxa" w:w="228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Not permitted</w:t>
            </w:r>
          </w:p>
        </w:tc>
      </w:tr>
      <w:tr>
        <w:trPr>
          <w:cantSplit/>
          <w:tblHeader w:val="off"/>
        </w:trPr>
        <w:tc>
          <w:tcPr>
            <w:tcW w:type="dxa" w:w="228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Guest</w:t>
            </w:r>
          </w:p>
        </w:tc>
        <w:tc>
          <w:tcPr>
            <w:tcW w:type="dxa" w:w="228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n/a</w:t>
            </w:r>
          </w:p>
        </w:tc>
        <w:tc>
          <w:tcPr>
            <w:tcW w:type="dxa" w:w="228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Guest Wi-Fi only</w:t>
            </w:r>
          </w:p>
        </w:tc>
        <w:tc>
          <w:tcPr>
            <w:tcW w:type="dxa" w:w="228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Guest Wi-Fi only</w:t>
            </w:r>
          </w:p>
        </w:tc>
        <w:tc>
          <w:tcPr>
            <w:tcW w:type="dxa" w:w="228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Internet only (guest login)</w:t>
            </w:r>
          </w:p>
        </w:tc>
        <w:tc>
          <w:tcPr>
            <w:tcW w:type="dxa" w:w="228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n/a</w:t>
            </w:r>
          </w:p>
        </w:tc>
      </w:tr>
    </w:tbl>
    <w:p>
      <w:pPr>
        <w:pStyle w:val="Heading2"/>
        <w:pageBreakBefore/>
        <w:spacing w:after="80"/>
      </w:pPr>
      <w:r>
        <w:rPr>
          <w:rFonts w:ascii="Calibri" w:cs="Calibri" w:eastAsia="Calibri" w:hAnsi="Calibri"/>
          <w:b/>
          <w:bCs/>
          <w:color w:val="2E75B6"/>
          <w:sz w:val="24"/>
          <w:szCs w:val="24"/>
        </w:rPr>
        <w:t xml:space="preserve">6C. System × device — access conditions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770"/>
        <w:gridCol w:w="2770"/>
        <w:gridCol w:w="2770"/>
        <w:gridCol w:w="2770"/>
      </w:tblGrid>
      <w:tr>
        <w:trPr>
          <w:cantSplit/>
          <w:tblHeader/>
        </w:trPr>
        <w:tc>
          <w:tcPr>
            <w:tcW w:type="dxa" w:w="26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System</w:t>
            </w:r>
          </w:p>
        </w:tc>
        <w:tc>
          <w:tcPr>
            <w:tcW w:type="dxa" w:w="277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District-managed</w:t>
            </w:r>
          </w:p>
        </w:tc>
        <w:tc>
          <w:tcPr>
            <w:tcW w:type="dxa" w:w="277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Personal, app-protected</w:t>
            </w:r>
          </w:p>
        </w:tc>
        <w:tc>
          <w:tcPr>
            <w:tcW w:type="dxa" w:w="277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Personal, unmanaged</w:t>
            </w:r>
          </w:p>
        </w:tc>
        <w:tc>
          <w:tcPr>
            <w:tcW w:type="dxa" w:w="277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Notes</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Banner Admin (INB / Banner 9 admin pages)</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 MFA</w:t>
            </w:r>
          </w:p>
        </w:tc>
        <w:tc>
          <w:tcPr>
            <w:tcW w:type="dxa" w:w="2770"/>
            <w:shd w:fill="FFF2CC" w:color="auto" w:val="clear"/>
            <w:tcMar>
              <w:top w:type="dxa" w:w="60"/>
              <w:left w:type="dxa" w:w="90"/>
              <w:bottom w:type="dxa" w:w="60"/>
              <w:right w:type="dxa" w:w="90"/>
            </w:tcMar>
          </w:tcPr>
          <w:p>
            <w:pPr>
              <w:spacing w:after="20"/>
            </w:pPr>
            <w:r>
              <w:rPr>
                <w:rFonts w:ascii="Calibri" w:cs="Calibri" w:eastAsia="Calibri" w:hAnsi="Calibri"/>
                <w:sz w:val="17"/>
                <w:szCs w:val="17"/>
              </w:rPr>
              <w:t xml:space="preserve">Blocked, or via virtual desktop only?</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Blocked</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Highest-risk system; GLBA scope. Role reviews each term.</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Banner Self-Service / Experience portal</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 MFA</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 MFA</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 MFA</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Students and employees see own records; elevated roles follow Banner Admin rules.</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Blackboard</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 MFA</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 MFA</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 MFA</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Faculty grade exports count as Restricted — no local storage on personal devices.</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Outlook / Teams</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 in Outlook/Teams apps; copy/save to personal apps blocked</w:t>
            </w:r>
          </w:p>
        </w:tc>
        <w:tc>
          <w:tcPr>
            <w:tcW w:type="dxa" w:w="2770"/>
            <w:shd w:fill="FFF2CC" w:color="auto" w:val="clear"/>
            <w:tcMar>
              <w:top w:type="dxa" w:w="60"/>
              <w:left w:type="dxa" w:w="90"/>
              <w:bottom w:type="dxa" w:w="60"/>
              <w:right w:type="dxa" w:w="90"/>
            </w:tcMar>
          </w:tcPr>
          <w:p>
            <w:pPr>
              <w:spacing w:after="20"/>
            </w:pPr>
            <w:r>
              <w:rPr>
                <w:rFonts w:ascii="Calibri" w:cs="Calibri" w:eastAsia="Calibri" w:hAnsi="Calibri"/>
                <w:sz w:val="17"/>
                <w:szCs w:val="17"/>
              </w:rPr>
              <w:t xml:space="preserve">Browser only, no download?</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District email for all official business (Henry Ford model).</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OneDrive / SharePoint</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Full sync</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App access; no sync to personal storage</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Browser view; downloads blocked for Restricted labels</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Sensitivity labels carry the data class.</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Copilot / approved AI</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 with District account</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 with District account</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 with District account</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Only tools on the approved list may receive Internal data; none receive Restricted unless contractually approved.</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Public AI tools (consumer)</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Public data only</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Public data only</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Public data only</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See Section 7.</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On-premises systems / network shares</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 VPN off campus</w:t>
            </w:r>
          </w:p>
        </w:tc>
        <w:tc>
          <w:tcPr>
            <w:tcW w:type="dxa" w:w="2770"/>
            <w:shd w:fill="FFF2CC" w:color="auto" w:val="clear"/>
            <w:tcMar>
              <w:top w:type="dxa" w:w="60"/>
              <w:left w:type="dxa" w:w="90"/>
              <w:bottom w:type="dxa" w:w="60"/>
              <w:right w:type="dxa" w:w="90"/>
            </w:tcMar>
          </w:tcPr>
          <w:p>
            <w:pPr>
              <w:spacing w:after="20"/>
            </w:pPr>
            <w:r>
              <w:rPr>
                <w:rFonts w:ascii="Calibri" w:cs="Calibri" w:eastAsia="Calibri" w:hAnsi="Calibri"/>
                <w:sz w:val="17"/>
                <w:szCs w:val="17"/>
              </w:rPr>
              <w:t xml:space="preserve">VPN allowed?</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Blocked</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VPN retained only where a system can't move to identity-based access.</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Document management (AppXtender / Banner Document Management)</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 MFA</w:t>
            </w:r>
          </w:p>
        </w:tc>
        <w:tc>
          <w:tcPr>
            <w:tcW w:type="dxa" w:w="2770"/>
            <w:shd w:fill="FFF2CC" w:color="auto" w:val="clear"/>
            <w:tcMar>
              <w:top w:type="dxa" w:w="60"/>
              <w:left w:type="dxa" w:w="90"/>
              <w:bottom w:type="dxa" w:w="60"/>
              <w:right w:type="dxa" w:w="90"/>
            </w:tcMar>
          </w:tcPr>
          <w:p>
            <w:pPr>
              <w:spacing w:after="20"/>
            </w:pPr>
            <w:r>
              <w:rPr>
                <w:rFonts w:ascii="Calibri" w:cs="Calibri" w:eastAsia="Calibri" w:hAnsi="Calibri"/>
                <w:sz w:val="17"/>
                <w:szCs w:val="17"/>
              </w:rPr>
              <w:t xml:space="preserve">View only?</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Blocked</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Holds scanned Restricted records (transcripts, aid documents, requisitions). Follows Banner Admin rules.</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Meeting recording, transcription, AI recap (Teams, Copilot)</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 per meeting policy</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 per meeting policy</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 per meeting policy</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Organizer must announce; recordings are Internal by default, Restricted if student or HR matters are discussed. Retention follows records schedule.</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Third-party integrations (Blackboard LTI tools, M365 apps, Banner integrations)</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IT-approved only</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IT-approved only</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IT-approved only</w:t>
            </w:r>
          </w:p>
        </w:tc>
        <w:tc>
          <w:tcPr>
            <w:tcW w:type="dxa" w:w="2770"/>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Users may not authorize apps that read District data. Each integration gets a data-flow and vendor review.</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Removable storage (USB, external drives)</w:t>
            </w:r>
          </w:p>
        </w:tc>
        <w:tc>
          <w:tcPr>
            <w:tcW w:type="dxa" w:w="2770"/>
            <w:shd w:fill="FFF2CC" w:color="auto" w:val="clear"/>
            <w:tcMar>
              <w:top w:type="dxa" w:w="60"/>
              <w:left w:type="dxa" w:w="90"/>
              <w:bottom w:type="dxa" w:w="60"/>
              <w:right w:type="dxa" w:w="90"/>
            </w:tcMar>
          </w:tcPr>
          <w:p>
            <w:pPr>
              <w:spacing w:after="20"/>
            </w:pPr>
            <w:r>
              <w:rPr>
                <w:rFonts w:ascii="Calibri" w:cs="Calibri" w:eastAsia="Calibri" w:hAnsi="Calibri"/>
                <w:sz w:val="17"/>
                <w:szCs w:val="17"/>
              </w:rPr>
              <w:t xml:space="preserve">Encrypted District drives only, or blocked?</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Not permitted for Internal/Restricted</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Not permitted for Internal/Restricted</w:t>
            </w:r>
          </w:p>
        </w:tc>
        <w:tc>
          <w:tcPr>
            <w:tcW w:type="dxa" w:w="2770"/>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Macomb model: no Restricted data on removable media without written approval.</w:t>
            </w:r>
          </w:p>
        </w:tc>
      </w:tr>
    </w:tbl>
    <w:p>
      <w:pPr>
        <w:pStyle w:val="Heading2"/>
        <w:pageBreakBefore/>
        <w:spacing w:after="80"/>
      </w:pPr>
      <w:r>
        <w:rPr>
          <w:rFonts w:ascii="Calibri" w:cs="Calibri" w:eastAsia="Calibri" w:hAnsi="Calibri"/>
          <w:b/>
          <w:bCs/>
          <w:color w:val="2E75B6"/>
          <w:sz w:val="24"/>
          <w:szCs w:val="24"/>
        </w:rPr>
        <w:t xml:space="preserve">6D. What each activity requires, by data class</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693"/>
        <w:gridCol w:w="3693"/>
        <w:gridCol w:w="3694"/>
      </w:tblGrid>
      <w:tr>
        <w:trPr>
          <w:cantSplit/>
          <w:tblHeader/>
        </w:trPr>
        <w:tc>
          <w:tcPr>
            <w:tcW w:type="dxa" w:w="26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Activity</w:t>
            </w:r>
          </w:p>
        </w:tc>
        <w:tc>
          <w:tcPr>
            <w:tcW w:type="dxa" w:w="3693"/>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Public</w:t>
            </w:r>
          </w:p>
        </w:tc>
        <w:tc>
          <w:tcPr>
            <w:tcW w:type="dxa" w:w="3693"/>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Internal</w:t>
            </w:r>
          </w:p>
        </w:tc>
        <w:tc>
          <w:tcPr>
            <w:tcW w:type="dxa" w:w="3694"/>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Restricted</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View</w:t>
            </w:r>
          </w:p>
        </w:tc>
        <w:tc>
          <w:tcPr>
            <w:tcW w:type="dxa" w:w="3693"/>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Anyone</w:t>
            </w:r>
          </w:p>
        </w:tc>
        <w:tc>
          <w:tcPr>
            <w:tcW w:type="dxa" w:w="3693"/>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District account</w:t>
            </w:r>
          </w:p>
        </w:tc>
        <w:tc>
          <w:tcPr>
            <w:tcW w:type="dxa" w:w="3694"/>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Authorized role; MFA; device per 6C</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Download / save locally</w:t>
            </w:r>
          </w:p>
        </w:tc>
        <w:tc>
          <w:tcPr>
            <w:tcW w:type="dxa" w:w="3693"/>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w:t>
            </w:r>
          </w:p>
        </w:tc>
        <w:tc>
          <w:tcPr>
            <w:tcW w:type="dxa" w:w="3693"/>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District-managed or app-protected device</w:t>
            </w:r>
          </w:p>
        </w:tc>
        <w:tc>
          <w:tcPr>
            <w:tcW w:type="dxa" w:w="3694"/>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District-managed device only</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Export or run reports (Banner, Blackboard grade export)</w:t>
            </w:r>
          </w:p>
        </w:tc>
        <w:tc>
          <w:tcPr>
            <w:tcW w:type="dxa" w:w="3693"/>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w:t>
            </w:r>
          </w:p>
        </w:tc>
        <w:tc>
          <w:tcPr>
            <w:tcW w:type="dxa" w:w="3693"/>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 store in District storage</w:t>
            </w:r>
          </w:p>
        </w:tc>
        <w:tc>
          <w:tcPr>
            <w:tcW w:type="dxa" w:w="3694"/>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Authorized role; store only in approved locations; delete working copies when done</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Share inside the District</w:t>
            </w:r>
          </w:p>
        </w:tc>
        <w:tc>
          <w:tcPr>
            <w:tcW w:type="dxa" w:w="3693"/>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w:t>
            </w:r>
          </w:p>
        </w:tc>
        <w:tc>
          <w:tcPr>
            <w:tcW w:type="dxa" w:w="3693"/>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District accounts only</w:t>
            </w:r>
          </w:p>
        </w:tc>
        <w:tc>
          <w:tcPr>
            <w:tcW w:type="dxa" w:w="3694"/>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Need-to-know; share links, not attachments; no "anyone with the link"</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Share outside the District</w:t>
            </w:r>
          </w:p>
        </w:tc>
        <w:tc>
          <w:tcPr>
            <w:tcW w:type="dxa" w:w="3693"/>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w:t>
            </w:r>
          </w:p>
        </w:tc>
        <w:tc>
          <w:tcPr>
            <w:tcW w:type="dxa" w:w="3693"/>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Supervisor approval</w:t>
            </w:r>
          </w:p>
        </w:tc>
        <w:tc>
          <w:tcPr>
            <w:tcW w:type="dxa" w:w="3694"/>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Only under contract, data-sharing agreement, or legal requirement; encrypted</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Print</w:t>
            </w:r>
          </w:p>
        </w:tc>
        <w:tc>
          <w:tcPr>
            <w:tcW w:type="dxa" w:w="3693"/>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w:t>
            </w:r>
          </w:p>
        </w:tc>
        <w:tc>
          <w:tcPr>
            <w:tcW w:type="dxa" w:w="3693"/>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w:t>
            </w:r>
          </w:p>
        </w:tc>
        <w:tc>
          <w:tcPr>
            <w:tcW w:type="dxa" w:w="3694"/>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Secure/release printing; collect immediately; shred</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Record or transcribe (meetings, calls)</w:t>
            </w:r>
          </w:p>
        </w:tc>
        <w:tc>
          <w:tcPr>
            <w:tcW w:type="dxa" w:w="3693"/>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w:t>
            </w:r>
          </w:p>
        </w:tc>
        <w:tc>
          <w:tcPr>
            <w:tcW w:type="dxa" w:w="3693"/>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Announce; District tools only</w:t>
            </w:r>
          </w:p>
        </w:tc>
        <w:tc>
          <w:tcPr>
            <w:tcW w:type="dxa" w:w="3694"/>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Avoid unless required; District tools only; restrict access</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Enter into AI tools</w:t>
            </w:r>
          </w:p>
        </w:tc>
        <w:tc>
          <w:tcPr>
            <w:tcW w:type="dxa" w:w="3693"/>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Any tool</w:t>
            </w:r>
          </w:p>
        </w:tc>
        <w:tc>
          <w:tcPr>
            <w:tcW w:type="dxa" w:w="3693"/>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Approved tools with District account</w:t>
            </w:r>
          </w:p>
        </w:tc>
        <w:tc>
          <w:tcPr>
            <w:tcW w:type="dxa" w:w="3694"/>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Contractually approved tools only</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Copy to removable storage</w:t>
            </w:r>
          </w:p>
        </w:tc>
        <w:tc>
          <w:tcPr>
            <w:tcW w:type="dxa" w:w="3693"/>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Allowed</w:t>
            </w:r>
          </w:p>
        </w:tc>
        <w:tc>
          <w:tcPr>
            <w:tcW w:type="dxa" w:w="3693"/>
            <w:shd w:fill="FFFFFF" w:color="auto" w:val="clear"/>
            <w:tcMar>
              <w:top w:type="dxa" w:w="60"/>
              <w:left w:type="dxa" w:w="90"/>
              <w:bottom w:type="dxa" w:w="60"/>
              <w:right w:type="dxa" w:w="90"/>
            </w:tcMar>
          </w:tcPr>
          <w:p>
            <w:pPr>
              <w:spacing w:after="20"/>
            </w:pPr>
            <w:r>
              <w:rPr>
                <w:rFonts w:ascii="Calibri" w:cs="Calibri" w:eastAsia="Calibri" w:hAnsi="Calibri"/>
                <w:sz w:val="17"/>
                <w:szCs w:val="17"/>
              </w:rPr>
              <w:t xml:space="preserve">Encrypted District media only</w:t>
            </w:r>
          </w:p>
        </w:tc>
        <w:tc>
          <w:tcPr>
            <w:tcW w:type="dxa" w:w="3694"/>
            <w:shd w:fill="FFF2CC" w:color="auto" w:val="clear"/>
            <w:tcMar>
              <w:top w:type="dxa" w:w="60"/>
              <w:left w:type="dxa" w:w="90"/>
              <w:bottom w:type="dxa" w:w="60"/>
              <w:right w:type="dxa" w:w="90"/>
            </w:tcMar>
          </w:tcPr>
          <w:p>
            <w:pPr>
              <w:spacing w:after="20"/>
            </w:pPr>
            <w:r>
              <w:rPr>
                <w:rFonts w:ascii="Calibri" w:cs="Calibri" w:eastAsia="Calibri" w:hAnsi="Calibri"/>
                <w:sz w:val="17"/>
                <w:szCs w:val="17"/>
              </w:rPr>
              <w:t xml:space="preserve">Not permitted without written approval?</w:t>
            </w:r>
          </w:p>
        </w:tc>
      </w:tr>
      <w:tr>
        <w:trPr>
          <w:cantSplit/>
          <w:tblHeader w:val="off"/>
        </w:trPr>
        <w:tc>
          <w:tcPr>
            <w:tcW w:type="dxa" w:w="2600"/>
            <w:shd w:fill="DEEAF6" w:color="auto" w:val="clear"/>
            <w:tcMar>
              <w:top w:type="dxa" w:w="60"/>
              <w:left w:type="dxa" w:w="90"/>
              <w:bottom w:type="dxa" w:w="60"/>
              <w:right w:type="dxa" w:w="90"/>
            </w:tcMar>
          </w:tcPr>
          <w:p>
            <w:pPr>
              <w:spacing w:after="20"/>
            </w:pPr>
            <w:r>
              <w:rPr>
                <w:rFonts w:ascii="Calibri" w:cs="Calibri" w:eastAsia="Calibri" w:hAnsi="Calibri"/>
                <w:b/>
                <w:bCs/>
                <w:sz w:val="17"/>
                <w:szCs w:val="17"/>
              </w:rPr>
              <w:t xml:space="preserve">Retain and dispose</w:t>
            </w:r>
          </w:p>
        </w:tc>
        <w:tc>
          <w:tcPr>
            <w:tcW w:type="dxa" w:w="3693"/>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Per records schedule</w:t>
            </w:r>
          </w:p>
        </w:tc>
        <w:tc>
          <w:tcPr>
            <w:tcW w:type="dxa" w:w="3693"/>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Per records schedule</w:t>
            </w:r>
          </w:p>
        </w:tc>
        <w:tc>
          <w:tcPr>
            <w:tcW w:type="dxa" w:w="3694"/>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Per records schedule; secure deletion and certified destruction</w:t>
            </w:r>
          </w:p>
        </w:tc>
      </w:tr>
    </w:tbl>
    <w:p>
      <w:pPr>
        <w:sectPr>
          <w:footerReference w:type="default" r:id="rId7"/>
          <w:pgSz w:w="15840" w:h="12240" w:orient="landscape"/>
          <w:pgMar w:top="1080" w:right="1080" w:bottom="1080" w:left="1080" w:header="708" w:footer="708" w:gutter="0"/>
          <w:pgNumType/>
          <w:docGrid w:linePitch="360"/>
        </w:sectPr>
      </w:pPr>
    </w:p>
    <w:p>
      <w:pPr>
        <w:pStyle w:val="Heading1"/>
        <w:pBdr>
          <w:bottom w:val="single" w:color="2E75B6" w:sz="8" w:space="2"/>
        </w:pBdr>
        <w:spacing w:after="120" w:before="280"/>
      </w:pPr>
      <w:r>
        <w:rPr>
          <w:rFonts w:ascii="Calibri" w:cs="Calibri" w:eastAsia="Calibri" w:hAnsi="Calibri"/>
          <w:b/>
          <w:bCs/>
          <w:color w:val="1F3864"/>
          <w:sz w:val="30"/>
          <w:szCs w:val="30"/>
        </w:rPr>
        <w:t xml:space="preserve">7. Generative AI Standard — Key Provisions</w:t>
      </w:r>
    </w:p>
    <w:p>
      <w:pPr>
        <w:spacing w:after="120" w:before="0"/>
      </w:pPr>
      <w:r>
        <w:rPr>
          <w:rFonts w:ascii="Calibri" w:cs="Calibri" w:eastAsia="Calibri" w:hAnsi="Calibri"/>
          <w:sz w:val="21"/>
          <w:szCs w:val="21"/>
        </w:rPr>
        <w:t xml:space="preserve">Aligns with the District AI Adoption Plan and borrows from Delta College, Chemeketa, and Palm Beach State.</w:t>
      </w:r>
    </w:p>
    <w:p>
      <w:pPr>
        <w:pStyle w:val="ListParagraph"/>
        <w:numPr>
          <w:ilvl w:val="0"/>
          <w:numId w:val="2"/>
        </w:numPr>
        <w:spacing w:after="60"/>
      </w:pPr>
      <w:r>
        <w:rPr>
          <w:rFonts w:ascii="Calibri" w:cs="Calibri" w:eastAsia="Calibri" w:hAnsi="Calibri"/>
          <w:b/>
          <w:bCs/>
          <w:sz w:val="21"/>
          <w:szCs w:val="21"/>
        </w:rPr>
        <w:t xml:space="preserve">Approved tools list</w:t>
      </w:r>
      <w:r>
        <w:rPr>
          <w:rFonts w:ascii="Calibri" w:cs="Calibri" w:eastAsia="Calibri" w:hAnsi="Calibri"/>
          <w:sz w:val="21"/>
          <w:szCs w:val="21"/>
        </w:rPr>
        <w:t xml:space="preserve"> maintained by IT and the AI Working Group. Unapproved ("shadow") AI tools may not receive Internal or Restricted data.</w:t>
      </w:r>
    </w:p>
    <w:p>
      <w:pPr>
        <w:pStyle w:val="ListParagraph"/>
        <w:numPr>
          <w:ilvl w:val="0"/>
          <w:numId w:val="2"/>
        </w:numPr>
        <w:spacing w:after="60"/>
      </w:pPr>
      <w:r>
        <w:rPr>
          <w:rFonts w:ascii="Calibri" w:cs="Calibri" w:eastAsia="Calibri" w:hAnsi="Calibri"/>
          <w:b/>
          <w:bCs/>
          <w:sz w:val="21"/>
          <w:szCs w:val="21"/>
        </w:rPr>
        <w:t xml:space="preserve">No Restricted data</w:t>
      </w:r>
      <w:r>
        <w:rPr>
          <w:rFonts w:ascii="Calibri" w:cs="Calibri" w:eastAsia="Calibri" w:hAnsi="Calibri"/>
          <w:sz w:val="21"/>
          <w:szCs w:val="21"/>
        </w:rPr>
        <w:t xml:space="preserve"> in any AI tool unless the tool is under a District contract that bars training on District data and meets security review.</w:t>
      </w:r>
    </w:p>
    <w:p>
      <w:pPr>
        <w:pStyle w:val="ListParagraph"/>
        <w:numPr>
          <w:ilvl w:val="0"/>
          <w:numId w:val="2"/>
        </w:numPr>
        <w:spacing w:after="60"/>
      </w:pPr>
      <w:r>
        <w:rPr>
          <w:rFonts w:ascii="Calibri" w:cs="Calibri" w:eastAsia="Calibri" w:hAnsi="Calibri"/>
          <w:b/>
          <w:bCs/>
          <w:sz w:val="21"/>
          <w:szCs w:val="21"/>
        </w:rPr>
        <w:t xml:space="preserve">Human review</w:t>
      </w:r>
      <w:r>
        <w:rPr>
          <w:rFonts w:ascii="Calibri" w:cs="Calibri" w:eastAsia="Calibri" w:hAnsi="Calibri"/>
          <w:sz w:val="21"/>
          <w:szCs w:val="21"/>
        </w:rPr>
        <w:t xml:space="preserve"> of all AI output before it is used. The user remains accountable for appropriate use and for verifying output.</w:t>
      </w:r>
    </w:p>
    <w:p>
      <w:pPr>
        <w:pStyle w:val="ListParagraph"/>
        <w:numPr>
          <w:ilvl w:val="0"/>
          <w:numId w:val="2"/>
        </w:numPr>
        <w:spacing w:after="60"/>
      </w:pPr>
      <w:r>
        <w:rPr>
          <w:rFonts w:ascii="Calibri" w:cs="Calibri" w:eastAsia="Calibri" w:hAnsi="Calibri"/>
          <w:b/>
          <w:bCs/>
          <w:sz w:val="21"/>
          <w:szCs w:val="21"/>
        </w:rPr>
        <w:t xml:space="preserve">No automated high-impact decisions</w:t>
      </w:r>
      <w:r>
        <w:rPr>
          <w:rFonts w:ascii="Calibri" w:cs="Calibri" w:eastAsia="Calibri" w:hAnsi="Calibri"/>
          <w:sz w:val="21"/>
          <w:szCs w:val="21"/>
        </w:rPr>
        <w:t xml:space="preserve"> — admissions, grading, hiring, discipline, financial aid — without meaningful human review.</w:t>
      </w:r>
    </w:p>
    <w:p>
      <w:pPr>
        <w:pStyle w:val="ListParagraph"/>
        <w:numPr>
          <w:ilvl w:val="0"/>
          <w:numId w:val="2"/>
        </w:numPr>
        <w:spacing w:after="60"/>
      </w:pPr>
      <w:r>
        <w:rPr>
          <w:rFonts w:ascii="Calibri" w:cs="Calibri" w:eastAsia="Calibri" w:hAnsi="Calibri"/>
          <w:b/>
          <w:bCs/>
          <w:sz w:val="21"/>
          <w:szCs w:val="21"/>
        </w:rPr>
        <w:t xml:space="preserve">Faculty discretion</w:t>
      </w:r>
      <w:r>
        <w:rPr>
          <w:rFonts w:ascii="Calibri" w:cs="Calibri" w:eastAsia="Calibri" w:hAnsi="Calibri"/>
          <w:sz w:val="21"/>
          <w:szCs w:val="21"/>
        </w:rPr>
        <w:t xml:space="preserve"> over coursework, using a simple syllabus model (prohibited / allowed with conditions / integrated). AI-detection results may not be the sole basis for a misconduct finding.</w:t>
      </w:r>
    </w:p>
    <w:p>
      <w:pPr>
        <w:pStyle w:val="ListParagraph"/>
        <w:numPr>
          <w:ilvl w:val="0"/>
          <w:numId w:val="2"/>
        </w:numPr>
        <w:spacing w:after="60"/>
      </w:pPr>
      <w:r>
        <w:rPr>
          <w:rFonts w:ascii="Calibri" w:cs="Calibri" w:eastAsia="Calibri" w:hAnsi="Calibri"/>
          <w:b/>
          <w:bCs/>
          <w:sz w:val="21"/>
          <w:szCs w:val="21"/>
        </w:rPr>
        <w:t xml:space="preserve">Disclosure</w:t>
      </w:r>
      <w:r>
        <w:rPr>
          <w:rFonts w:ascii="Calibri" w:cs="Calibri" w:eastAsia="Calibri" w:hAnsi="Calibri"/>
          <w:sz w:val="21"/>
          <w:szCs w:val="21"/>
        </w:rPr>
        <w:t xml:space="preserve"> when AI materially shapes official District communications or reports, per department rules.</w:t>
      </w:r>
    </w:p>
    <w:p>
      <w:pPr>
        <w:pStyle w:val="ListParagraph"/>
        <w:numPr>
          <w:ilvl w:val="0"/>
          <w:numId w:val="2"/>
        </w:numPr>
        <w:spacing w:after="60"/>
      </w:pPr>
      <w:r>
        <w:rPr>
          <w:rFonts w:ascii="Calibri" w:cs="Calibri" w:eastAsia="Calibri" w:hAnsi="Calibri"/>
          <w:b/>
          <w:bCs/>
          <w:sz w:val="21"/>
          <w:szCs w:val="21"/>
        </w:rPr>
        <w:t xml:space="preserve">Vendors</w:t>
      </w:r>
      <w:r>
        <w:rPr>
          <w:rFonts w:ascii="Calibri" w:cs="Calibri" w:eastAsia="Calibri" w:hAnsi="Calibri"/>
          <w:sz w:val="21"/>
          <w:szCs w:val="21"/>
        </w:rPr>
        <w:t xml:space="preserve"> must disclose AI features in their products and may not train on District data without written approval.</w:t>
      </w:r>
    </w:p>
    <w:p>
      <w:pPr>
        <w:pStyle w:val="ListParagraph"/>
        <w:numPr>
          <w:ilvl w:val="0"/>
          <w:numId w:val="2"/>
        </w:numPr>
        <w:spacing w:after="60"/>
      </w:pPr>
      <w:r>
        <w:rPr>
          <w:rFonts w:ascii="Calibri" w:cs="Calibri" w:eastAsia="Calibri" w:hAnsi="Calibri"/>
          <w:b/>
          <w:bCs/>
          <w:sz w:val="21"/>
          <w:szCs w:val="21"/>
        </w:rPr>
        <w:t xml:space="preserve">Training</w:t>
      </w:r>
      <w:r>
        <w:rPr>
          <w:rFonts w:ascii="Calibri" w:cs="Calibri" w:eastAsia="Calibri" w:hAnsi="Calibri"/>
          <w:sz w:val="21"/>
          <w:szCs w:val="21"/>
        </w:rPr>
        <w:t xml:space="preserve"> before employees use AI in official duties.</w:t>
      </w:r>
    </w:p>
    <w:p>
      <w:pPr>
        <w:pStyle w:val="Heading2"/>
        <w:spacing w:after="80" w:before="200"/>
      </w:pPr>
      <w:r>
        <w:rPr>
          <w:rFonts w:ascii="Calibri" w:cs="Calibri" w:eastAsia="Calibri" w:hAnsi="Calibri"/>
          <w:b/>
          <w:bCs/>
          <w:color w:val="2E75B6"/>
          <w:sz w:val="24"/>
          <w:szCs w:val="24"/>
        </w:rPr>
        <w:t xml:space="preserve">Beyond chat tools</w:t>
      </w:r>
    </w:p>
    <w:p>
      <w:pPr>
        <w:spacing w:after="120" w:before="0"/>
      </w:pPr>
      <w:r>
        <w:rPr>
          <w:rFonts w:ascii="Calibri" w:cs="Calibri" w:eastAsia="Calibri" w:hAnsi="Calibri"/>
          <w:sz w:val="21"/>
          <w:szCs w:val="21"/>
        </w:rPr>
        <w:t xml:space="preserve">Most AI use at the District will not happen in a chat window. The standard should cover four other forms:</w:t>
      </w:r>
    </w:p>
    <w:p>
      <w:pPr>
        <w:pStyle w:val="ListParagraph"/>
        <w:numPr>
          <w:ilvl w:val="0"/>
          <w:numId w:val="2"/>
        </w:numPr>
        <w:spacing w:after="60"/>
      </w:pPr>
      <w:r>
        <w:rPr>
          <w:rFonts w:ascii="Calibri" w:cs="Calibri" w:eastAsia="Calibri" w:hAnsi="Calibri"/>
          <w:b/>
          <w:bCs/>
          <w:sz w:val="21"/>
          <w:szCs w:val="21"/>
        </w:rPr>
        <w:t xml:space="preserve">Embedded AI</w:t>
      </w:r>
      <w:r>
        <w:rPr>
          <w:rFonts w:ascii="Calibri" w:cs="Calibri" w:eastAsia="Calibri" w:hAnsi="Calibri"/>
          <w:sz w:val="21"/>
          <w:szCs w:val="21"/>
        </w:rPr>
        <w:t xml:space="preserve"> — AI features turned on inside systems the District already licenses (Blackboard, Banner, M365, Adobe, Zoom). IT reviews new AI features before they are enabled, the same as a new tool.</w:t>
      </w:r>
    </w:p>
    <w:p>
      <w:pPr>
        <w:pStyle w:val="ListParagraph"/>
        <w:numPr>
          <w:ilvl w:val="0"/>
          <w:numId w:val="2"/>
        </w:numPr>
        <w:spacing w:after="60"/>
      </w:pPr>
      <w:r>
        <w:rPr>
          <w:rFonts w:ascii="Calibri" w:cs="Calibri" w:eastAsia="Calibri" w:hAnsi="Calibri"/>
          <w:b/>
          <w:bCs/>
          <w:sz w:val="21"/>
          <w:szCs w:val="21"/>
        </w:rPr>
        <w:t xml:space="preserve">Meeting assistants</w:t>
      </w:r>
      <w:r>
        <w:rPr>
          <w:rFonts w:ascii="Calibri" w:cs="Calibri" w:eastAsia="Calibri" w:hAnsi="Calibri"/>
          <w:sz w:val="21"/>
          <w:szCs w:val="21"/>
        </w:rPr>
        <w:t xml:space="preserve"> — recording, transcription, and AI summaries. Organizer announces it; participants can object; no third-party note-taker bots in District meetings unless approved.</w:t>
      </w:r>
    </w:p>
    <w:p>
      <w:pPr>
        <w:pStyle w:val="ListParagraph"/>
        <w:numPr>
          <w:ilvl w:val="0"/>
          <w:numId w:val="2"/>
        </w:numPr>
        <w:spacing w:after="60"/>
      </w:pPr>
      <w:r>
        <w:rPr>
          <w:rFonts w:ascii="Calibri" w:cs="Calibri" w:eastAsia="Calibri" w:hAnsi="Calibri"/>
          <w:b/>
          <w:bCs/>
          <w:sz w:val="21"/>
          <w:szCs w:val="21"/>
        </w:rPr>
        <w:t xml:space="preserve">Agents</w:t>
      </w:r>
      <w:r>
        <w:rPr>
          <w:rFonts w:ascii="Calibri" w:cs="Calibri" w:eastAsia="Calibri" w:hAnsi="Calibri"/>
          <w:sz w:val="21"/>
          <w:szCs w:val="21"/>
        </w:rPr>
        <w:t xml:space="preserve"> — AI that takes actions (sends email, updates records, files tickets, runs workflows). Allowed only on approved platforms, under a named owner, with least-privilege access and a human approving any change to Restricted data.</w:t>
      </w:r>
    </w:p>
    <w:p>
      <w:pPr>
        <w:pStyle w:val="ListParagraph"/>
        <w:numPr>
          <w:ilvl w:val="0"/>
          <w:numId w:val="2"/>
        </w:numPr>
        <w:spacing w:after="60"/>
      </w:pPr>
      <w:r>
        <w:rPr>
          <w:rFonts w:ascii="Calibri" w:cs="Calibri" w:eastAsia="Calibri" w:hAnsi="Calibri"/>
          <w:b/>
          <w:bCs/>
          <w:sz w:val="21"/>
          <w:szCs w:val="21"/>
        </w:rPr>
        <w:t xml:space="preserve">Integrations</w:t>
      </w:r>
      <w:r>
        <w:rPr>
          <w:rFonts w:ascii="Calibri" w:cs="Calibri" w:eastAsia="Calibri" w:hAnsi="Calibri"/>
          <w:sz w:val="21"/>
          <w:szCs w:val="21"/>
        </w:rPr>
        <w:t xml:space="preserve"> — a Blackboard tool that sends student work to an AI provider is an instructional decision, a vendor review, a FERPA question, and an app authorization all at once. Each one goes through IT and the CISO before faculty enable it.</w:t>
      </w:r>
    </w:p>
    <w:p>
      <w:pPr>
        <w:pStyle w:val="Heading1"/>
        <w:pBdr>
          <w:bottom w:val="single" w:color="2E75B6" w:sz="8" w:space="2"/>
        </w:pBdr>
        <w:spacing w:after="120" w:before="280"/>
      </w:pPr>
      <w:r>
        <w:rPr>
          <w:rFonts w:ascii="Calibri" w:cs="Calibri" w:eastAsia="Calibri" w:hAnsi="Calibri"/>
          <w:b/>
          <w:bCs/>
          <w:color w:val="1F3864"/>
          <w:sz w:val="30"/>
          <w:szCs w:val="30"/>
        </w:rPr>
        <w:t xml:space="preserve">8. Remote Access and Device Standard — Key Provisions</w:t>
      </w:r>
    </w:p>
    <w:p>
      <w:pPr>
        <w:pStyle w:val="ListParagraph"/>
        <w:numPr>
          <w:ilvl w:val="0"/>
          <w:numId w:val="2"/>
        </w:numPr>
        <w:spacing w:after="60"/>
      </w:pPr>
      <w:r>
        <w:rPr>
          <w:rFonts w:ascii="Calibri" w:cs="Calibri" w:eastAsia="Calibri" w:hAnsi="Calibri"/>
          <w:b/>
          <w:bCs/>
          <w:sz w:val="21"/>
          <w:szCs w:val="21"/>
        </w:rPr>
        <w:t xml:space="preserve">MFA for all accounts</w:t>
      </w:r>
      <w:r>
        <w:rPr>
          <w:rFonts w:ascii="Calibri" w:cs="Calibri" w:eastAsia="Calibri" w:hAnsi="Calibri"/>
          <w:sz w:val="21"/>
          <w:szCs w:val="21"/>
        </w:rPr>
        <w:t xml:space="preserve"> — students, employees, contractors. Phishing-resistant methods for privileged and Banner Admin users.</w:t>
      </w:r>
    </w:p>
    <w:p>
      <w:pPr>
        <w:pStyle w:val="ListParagraph"/>
        <w:numPr>
          <w:ilvl w:val="0"/>
          <w:numId w:val="2"/>
        </w:numPr>
        <w:spacing w:after="60"/>
      </w:pPr>
      <w:r>
        <w:rPr>
          <w:rFonts w:ascii="Calibri" w:cs="Calibri" w:eastAsia="Calibri" w:hAnsi="Calibri"/>
          <w:b/>
          <w:bCs/>
          <w:sz w:val="21"/>
          <w:szCs w:val="21"/>
        </w:rPr>
        <w:t xml:space="preserve">Conditional access</w:t>
      </w:r>
      <w:r>
        <w:rPr>
          <w:rFonts w:ascii="Calibri" w:cs="Calibri" w:eastAsia="Calibri" w:hAnsi="Calibri"/>
          <w:sz w:val="21"/>
          <w:szCs w:val="21"/>
        </w:rPr>
        <w:t xml:space="preserve"> replaces the device-inspection language: access depends on who you are, what device you're on, and what data you're reaching.</w:t>
      </w:r>
    </w:p>
    <w:p>
      <w:pPr>
        <w:pStyle w:val="ListParagraph"/>
        <w:numPr>
          <w:ilvl w:val="0"/>
          <w:numId w:val="2"/>
        </w:numPr>
        <w:spacing w:after="60"/>
      </w:pPr>
      <w:r>
        <w:rPr>
          <w:rFonts w:ascii="Calibri" w:cs="Calibri" w:eastAsia="Calibri" w:hAnsi="Calibri"/>
          <w:b/>
          <w:bCs/>
          <w:sz w:val="21"/>
          <w:szCs w:val="21"/>
        </w:rPr>
        <w:t xml:space="preserve">BYOD options</w:t>
      </w:r>
      <w:r>
        <w:rPr>
          <w:rFonts w:ascii="Calibri" w:cs="Calibri" w:eastAsia="Calibri" w:hAnsi="Calibri"/>
          <w:sz w:val="21"/>
          <w:szCs w:val="21"/>
        </w:rPr>
        <w:t xml:space="preserve"> stated plainly: what the District can and cannot see or wipe on a personal device, written in user terms (several universities publish this as an FAQ).</w:t>
      </w:r>
    </w:p>
    <w:p>
      <w:pPr>
        <w:pStyle w:val="ListParagraph"/>
        <w:numPr>
          <w:ilvl w:val="0"/>
          <w:numId w:val="2"/>
        </w:numPr>
        <w:spacing w:after="60"/>
      </w:pPr>
      <w:r>
        <w:rPr>
          <w:rFonts w:ascii="Calibri" w:cs="Calibri" w:eastAsia="Calibri" w:hAnsi="Calibri"/>
          <w:b/>
          <w:bCs/>
          <w:sz w:val="21"/>
          <w:szCs w:val="21"/>
        </w:rPr>
        <w:t xml:space="preserve">Minimum device baseline:</w:t>
      </w:r>
      <w:r>
        <w:rPr>
          <w:rFonts w:ascii="Calibri" w:cs="Calibri" w:eastAsia="Calibri" w:hAnsi="Calibri"/>
          <w:sz w:val="21"/>
          <w:szCs w:val="21"/>
        </w:rPr>
        <w:t xml:space="preserve"> supported OS, screen lock, encryption, no jailbroken or rooted devices.</w:t>
      </w:r>
    </w:p>
    <w:p>
      <w:pPr>
        <w:pStyle w:val="ListParagraph"/>
        <w:numPr>
          <w:ilvl w:val="0"/>
          <w:numId w:val="2"/>
        </w:numPr>
        <w:spacing w:after="60"/>
      </w:pPr>
      <w:r>
        <w:rPr>
          <w:rFonts w:ascii="Calibri" w:cs="Calibri" w:eastAsia="Calibri" w:hAnsi="Calibri"/>
          <w:b/>
          <w:bCs/>
          <w:sz w:val="21"/>
          <w:szCs w:val="21"/>
        </w:rPr>
        <w:t xml:space="preserve">Lost or stolen device:</w:t>
      </w:r>
      <w:r>
        <w:rPr>
          <w:rFonts w:ascii="Calibri" w:cs="Calibri" w:eastAsia="Calibri" w:hAnsi="Calibri"/>
          <w:sz w:val="21"/>
          <w:szCs w:val="21"/>
        </w:rPr>
        <w:t xml:space="preserve"> report to the Help Desk immediately upon discovery; District data removed remotely.</w:t>
      </w:r>
    </w:p>
    <w:p>
      <w:pPr>
        <w:pStyle w:val="ListParagraph"/>
        <w:numPr>
          <w:ilvl w:val="0"/>
          <w:numId w:val="2"/>
        </w:numPr>
        <w:spacing w:after="60"/>
      </w:pPr>
      <w:r>
        <w:rPr>
          <w:rFonts w:ascii="Calibri" w:cs="Calibri" w:eastAsia="Calibri" w:hAnsi="Calibri"/>
          <w:b/>
          <w:bCs/>
          <w:sz w:val="21"/>
          <w:szCs w:val="21"/>
        </w:rPr>
        <w:t xml:space="preserve">Public Wi-Fi:</w:t>
      </w:r>
      <w:r>
        <w:rPr>
          <w:rFonts w:ascii="Calibri" w:cs="Calibri" w:eastAsia="Calibri" w:hAnsi="Calibri"/>
          <w:sz w:val="21"/>
          <w:szCs w:val="21"/>
        </w:rPr>
        <w:t xml:space="preserve"> allowed for cloud apps protected by MFA; Restricted work requires a managed device.</w:t>
      </w:r>
    </w:p>
    <w:p>
      <w:pPr>
        <w:pStyle w:val="ListParagraph"/>
        <w:numPr>
          <w:ilvl w:val="0"/>
          <w:numId w:val="2"/>
        </w:numPr>
        <w:spacing w:after="60"/>
      </w:pPr>
      <w:r>
        <w:rPr>
          <w:rFonts w:ascii="Calibri" w:cs="Calibri" w:eastAsia="Calibri" w:hAnsi="Calibri"/>
          <w:b/>
          <w:bCs/>
          <w:sz w:val="21"/>
          <w:szCs w:val="21"/>
        </w:rPr>
        <w:t xml:space="preserve">Separation of duties:</w:t>
      </w:r>
      <w:r>
        <w:rPr>
          <w:rFonts w:ascii="Calibri" w:cs="Calibri" w:eastAsia="Calibri" w:hAnsi="Calibri"/>
          <w:sz w:val="21"/>
          <w:szCs w:val="21"/>
        </w:rPr>
        <w:t xml:space="preserve"> IT administrators use separate admin accounts, managed devices only.</w:t>
      </w:r>
    </w:p>
    <w:p>
      <w:pPr>
        <w:pStyle w:val="Heading1"/>
        <w:pBdr>
          <w:bottom w:val="single" w:color="2E75B6" w:sz="8" w:space="2"/>
        </w:pBdr>
        <w:spacing w:after="120" w:before="280"/>
      </w:pPr>
      <w:r>
        <w:rPr>
          <w:rFonts w:ascii="Calibri" w:cs="Calibri" w:eastAsia="Calibri" w:hAnsi="Calibri"/>
          <w:b/>
          <w:bCs/>
          <w:color w:val="1F3864"/>
          <w:sz w:val="30"/>
          <w:szCs w:val="30"/>
        </w:rPr>
        <w:t xml:space="preserve">9. Third-Party and Guest Access Standard — Key Provisions</w:t>
      </w:r>
    </w:p>
    <w:p>
      <w:pPr>
        <w:pStyle w:val="ListParagraph"/>
        <w:numPr>
          <w:ilvl w:val="0"/>
          <w:numId w:val="2"/>
        </w:numPr>
        <w:spacing w:after="60"/>
      </w:pPr>
      <w:r>
        <w:rPr>
          <w:rFonts w:ascii="Calibri" w:cs="Calibri" w:eastAsia="Calibri" w:hAnsi="Calibri"/>
          <w:sz w:val="21"/>
          <w:szCs w:val="21"/>
        </w:rPr>
        <w:t xml:space="preserve">Every vendor, contractor, affiliate, and sponsored guest account has a </w:t>
      </w:r>
      <w:r>
        <w:rPr>
          <w:rFonts w:ascii="Calibri" w:cs="Calibri" w:eastAsia="Calibri" w:hAnsi="Calibri"/>
          <w:b/>
          <w:bCs/>
          <w:sz w:val="21"/>
          <w:szCs w:val="21"/>
        </w:rPr>
        <w:t xml:space="preserve">District sponsor</w:t>
      </w:r>
      <w:r>
        <w:rPr>
          <w:rFonts w:ascii="Calibri" w:cs="Calibri" w:eastAsia="Calibri" w:hAnsi="Calibri"/>
          <w:sz w:val="21"/>
          <w:szCs w:val="21"/>
        </w:rPr>
        <w:t xml:space="preserve"> and an </w:t>
      </w:r>
      <w:r>
        <w:rPr>
          <w:rFonts w:ascii="Calibri" w:cs="Calibri" w:eastAsia="Calibri" w:hAnsi="Calibri"/>
          <w:b/>
          <w:bCs/>
          <w:sz w:val="21"/>
          <w:szCs w:val="21"/>
        </w:rPr>
        <w:t xml:space="preserve">end date</w:t>
      </w:r>
      <w:r>
        <w:rPr>
          <w:rFonts w:ascii="Calibri" w:cs="Calibri" w:eastAsia="Calibri" w:hAnsi="Calibri"/>
          <w:sz w:val="21"/>
          <w:szCs w:val="21"/>
        </w:rPr>
        <w:t xml:space="preserve">; accounts expire automatically. Students follow the student account lifecycle in Section 10.</w:t>
      </w:r>
    </w:p>
    <w:p>
      <w:pPr>
        <w:pStyle w:val="ListParagraph"/>
        <w:numPr>
          <w:ilvl w:val="0"/>
          <w:numId w:val="2"/>
        </w:numPr>
        <w:spacing w:after="60"/>
      </w:pPr>
      <w:r>
        <w:rPr>
          <w:rFonts w:ascii="Calibri" w:cs="Calibri" w:eastAsia="Calibri" w:hAnsi="Calibri"/>
          <w:sz w:val="21"/>
          <w:szCs w:val="21"/>
        </w:rPr>
        <w:t xml:space="preserve">Signed AUP acknowledgment before access is issued.</w:t>
      </w:r>
    </w:p>
    <w:p>
      <w:pPr>
        <w:pStyle w:val="ListParagraph"/>
        <w:numPr>
          <w:ilvl w:val="0"/>
          <w:numId w:val="2"/>
        </w:numPr>
        <w:spacing w:after="60"/>
      </w:pPr>
      <w:r>
        <w:rPr>
          <w:rFonts w:ascii="Calibri" w:cs="Calibri" w:eastAsia="Calibri" w:hAnsi="Calibri"/>
          <w:b/>
          <w:bCs/>
          <w:sz w:val="21"/>
          <w:szCs w:val="21"/>
        </w:rPr>
        <w:t xml:space="preserve">HECVAT</w:t>
      </w:r>
      <w:r>
        <w:rPr>
          <w:rFonts w:ascii="Calibri" w:cs="Calibri" w:eastAsia="Calibri" w:hAnsi="Calibri"/>
          <w:sz w:val="21"/>
          <w:szCs w:val="21"/>
        </w:rPr>
        <w:t xml:space="preserve"> (or equivalent) for vendors receiving Internal or Restricted data; reviewed by the CISO.</w:t>
      </w:r>
    </w:p>
    <w:p>
      <w:pPr>
        <w:pStyle w:val="ListParagraph"/>
        <w:numPr>
          <w:ilvl w:val="0"/>
          <w:numId w:val="2"/>
        </w:numPr>
        <w:spacing w:after="60"/>
      </w:pPr>
      <w:r>
        <w:rPr>
          <w:rFonts w:ascii="Calibri" w:cs="Calibri" w:eastAsia="Calibri" w:hAnsi="Calibri"/>
          <w:sz w:val="21"/>
          <w:szCs w:val="21"/>
        </w:rPr>
        <w:t xml:space="preserve">Contract clauses: GLBA safeguards, breach notice to WCCCD, data return/destruction, no AI training on District data, accessibility conformance.</w:t>
      </w:r>
    </w:p>
    <w:p>
      <w:pPr>
        <w:pStyle w:val="ListParagraph"/>
        <w:numPr>
          <w:ilvl w:val="0"/>
          <w:numId w:val="2"/>
        </w:numPr>
        <w:spacing w:after="60"/>
      </w:pPr>
      <w:r>
        <w:rPr>
          <w:rFonts w:ascii="Calibri" w:cs="Calibri" w:eastAsia="Calibri" w:hAnsi="Calibri"/>
          <w:sz w:val="21"/>
          <w:szCs w:val="21"/>
        </w:rPr>
        <w:t xml:space="preserve">Guests limited to guest Wi-Fi; no District accounts unless sponsored.</w:t>
      </w:r>
    </w:p>
    <w:p>
      <w:pPr>
        <w:pStyle w:val="ListParagraph"/>
        <w:numPr>
          <w:ilvl w:val="0"/>
          <w:numId w:val="2"/>
        </w:numPr>
        <w:spacing w:after="60"/>
      </w:pPr>
      <w:r>
        <w:rPr>
          <w:rFonts w:ascii="Calibri" w:cs="Calibri" w:eastAsia="Calibri" w:hAnsi="Calibri"/>
          <w:b/>
          <w:bCs/>
          <w:sz w:val="21"/>
          <w:szCs w:val="21"/>
        </w:rPr>
        <w:t xml:space="preserve">Vendor remote support</w:t>
      </w:r>
      <w:r>
        <w:rPr>
          <w:rFonts w:ascii="Calibri" w:cs="Calibri" w:eastAsia="Calibri" w:hAnsi="Calibri"/>
          <w:sz w:val="21"/>
          <w:szCs w:val="21"/>
        </w:rPr>
        <w:t xml:space="preserve"> through a District-controlled, logged session — never standing access or shared accounts.</w:t>
      </w:r>
    </w:p>
    <w:p>
      <w:pPr>
        <w:pStyle w:val="ListParagraph"/>
        <w:numPr>
          <w:ilvl w:val="0"/>
          <w:numId w:val="2"/>
        </w:numPr>
        <w:spacing w:after="60"/>
      </w:pPr>
      <w:r>
        <w:rPr>
          <w:rFonts w:ascii="Calibri" w:cs="Calibri" w:eastAsia="Calibri" w:hAnsi="Calibri"/>
          <w:b/>
          <w:bCs/>
          <w:sz w:val="21"/>
          <w:szCs w:val="21"/>
        </w:rPr>
        <w:t xml:space="preserve">Subcontractors</w:t>
      </w:r>
      <w:r>
        <w:rPr>
          <w:rFonts w:ascii="Calibri" w:cs="Calibri" w:eastAsia="Calibri" w:hAnsi="Calibri"/>
          <w:sz w:val="21"/>
          <w:szCs w:val="21"/>
        </w:rPr>
        <w:t xml:space="preserve"> bound by the same terms; vendors disclose who else touches District data.</w:t>
      </w:r>
    </w:p>
    <w:p>
      <w:pPr>
        <w:pStyle w:val="Heading1"/>
        <w:pBdr>
          <w:bottom w:val="single" w:color="2E75B6" w:sz="8" w:space="2"/>
        </w:pBdr>
        <w:spacing w:after="120" w:before="280"/>
      </w:pPr>
      <w:r>
        <w:rPr>
          <w:rFonts w:ascii="Calibri" w:cs="Calibri" w:eastAsia="Calibri" w:hAnsi="Calibri"/>
          <w:b/>
          <w:bCs/>
          <w:color w:val="1F3864"/>
          <w:sz w:val="30"/>
          <w:szCs w:val="30"/>
        </w:rPr>
        <w:t xml:space="preserve">10. Provisions Common to Every Standard</w:t>
      </w:r>
    </w:p>
    <w:p>
      <w:pPr>
        <w:pStyle w:val="Heading2"/>
        <w:spacing w:after="80" w:before="200"/>
      </w:pPr>
      <w:r>
        <w:rPr>
          <w:rFonts w:ascii="Calibri" w:cs="Calibri" w:eastAsia="Calibri" w:hAnsi="Calibri"/>
          <w:b/>
          <w:bCs/>
          <w:color w:val="2E75B6"/>
          <w:sz w:val="24"/>
          <w:szCs w:val="24"/>
        </w:rPr>
        <w:t xml:space="preserve">Exceptions</w:t>
      </w:r>
    </w:p>
    <w:p>
      <w:pPr>
        <w:spacing w:after="120" w:before="0"/>
      </w:pPr>
      <w:r>
        <w:rPr>
          <w:rFonts w:ascii="Calibri" w:cs="Calibri" w:eastAsia="Calibri" w:hAnsi="Calibri"/>
          <w:sz w:val="21"/>
          <w:szCs w:val="21"/>
        </w:rPr>
        <w:t xml:space="preserve">Without a clear exception path, people work around the rule instead. Each standard uses the same process:</w:t>
      </w:r>
    </w:p>
    <w:p>
      <w:pPr>
        <w:pStyle w:val="ListParagraph"/>
        <w:numPr>
          <w:ilvl w:val="0"/>
          <w:numId w:val="2"/>
        </w:numPr>
        <w:spacing w:after="60"/>
      </w:pPr>
      <w:r>
        <w:rPr>
          <w:rFonts w:ascii="Calibri" w:cs="Calibri" w:eastAsia="Calibri" w:hAnsi="Calibri"/>
          <w:sz w:val="21"/>
          <w:szCs w:val="21"/>
        </w:rPr>
        <w:t xml:space="preserve">Request in writing through the IT service portal, stating the business need, data involved, and duration.</w:t>
      </w:r>
    </w:p>
    <w:p>
      <w:pPr>
        <w:pStyle w:val="ListParagraph"/>
        <w:numPr>
          <w:ilvl w:val="0"/>
          <w:numId w:val="2"/>
        </w:numPr>
        <w:spacing w:after="60"/>
      </w:pPr>
      <w:r>
        <w:rPr>
          <w:rFonts w:ascii="Calibri" w:cs="Calibri" w:eastAsia="Calibri" w:hAnsi="Calibri"/>
          <w:sz w:val="21"/>
          <w:szCs w:val="21"/>
        </w:rPr>
        <w:t xml:space="preserve">Supervisor endorses; CISO approves, or CIO for anything involving Restricted data.</w:t>
      </w:r>
    </w:p>
    <w:p>
      <w:pPr>
        <w:pStyle w:val="ListParagraph"/>
        <w:numPr>
          <w:ilvl w:val="0"/>
          <w:numId w:val="2"/>
        </w:numPr>
        <w:spacing w:after="60"/>
      </w:pPr>
      <w:r>
        <w:rPr>
          <w:rFonts w:ascii="Calibri" w:cs="Calibri" w:eastAsia="Calibri" w:hAnsi="Calibri"/>
          <w:sz w:val="21"/>
          <w:szCs w:val="21"/>
        </w:rPr>
        <w:t xml:space="preserve">Every exception has compensating controls and an </w:t>
      </w:r>
      <w:r>
        <w:rPr>
          <w:rFonts w:ascii="Calibri" w:cs="Calibri" w:eastAsia="Calibri" w:hAnsi="Calibri"/>
          <w:b/>
          <w:bCs/>
          <w:sz w:val="21"/>
          <w:szCs w:val="21"/>
        </w:rPr>
        <w:t xml:space="preserve">end date</w:t>
      </w:r>
      <w:r>
        <w:rPr>
          <w:rFonts w:ascii="Calibri" w:cs="Calibri" w:eastAsia="Calibri" w:hAnsi="Calibri"/>
          <w:sz w:val="21"/>
          <w:szCs w:val="21"/>
        </w:rPr>
        <w:t xml:space="preserve"> (propose 12 months maximum). No permanent exceptions.</w:t>
      </w:r>
    </w:p>
    <w:p>
      <w:pPr>
        <w:pStyle w:val="ListParagraph"/>
        <w:numPr>
          <w:ilvl w:val="0"/>
          <w:numId w:val="2"/>
        </w:numPr>
        <w:spacing w:after="60"/>
      </w:pPr>
      <w:r>
        <w:rPr>
          <w:rFonts w:ascii="Calibri" w:cs="Calibri" w:eastAsia="Calibri" w:hAnsi="Calibri"/>
          <w:sz w:val="21"/>
          <w:szCs w:val="21"/>
        </w:rPr>
        <w:t xml:space="preserve">IT keeps an exceptions register and reviews it in the annual policy review. Recurring exceptions signal the standard needs changing.</w:t>
      </w:r>
    </w:p>
    <w:p>
      <w:pPr>
        <w:pStyle w:val="Heading2"/>
        <w:spacing w:after="80" w:before="200"/>
      </w:pPr>
      <w:r>
        <w:rPr>
          <w:rFonts w:ascii="Calibri" w:cs="Calibri" w:eastAsia="Calibri" w:hAnsi="Calibri"/>
          <w:b/>
          <w:bCs/>
          <w:color w:val="2E75B6"/>
          <w:sz w:val="24"/>
          <w:szCs w:val="24"/>
        </w:rPr>
        <w:t xml:space="preserve">Account lifecycle</w:t>
      </w:r>
    </w:p>
    <w:p>
      <w:pPr>
        <w:pStyle w:val="ListParagraph"/>
        <w:numPr>
          <w:ilvl w:val="0"/>
          <w:numId w:val="2"/>
        </w:numPr>
        <w:spacing w:after="60"/>
      </w:pPr>
      <w:r>
        <w:rPr>
          <w:rFonts w:ascii="Calibri" w:cs="Calibri" w:eastAsia="Calibri" w:hAnsi="Calibri"/>
          <w:b/>
          <w:bCs/>
          <w:sz w:val="21"/>
          <w:szCs w:val="21"/>
        </w:rPr>
        <w:t xml:space="preserve">Provisioning</w:t>
      </w:r>
      <w:r>
        <w:rPr>
          <w:rFonts w:ascii="Calibri" w:cs="Calibri" w:eastAsia="Calibri" w:hAnsi="Calibri"/>
          <w:sz w:val="21"/>
          <w:szCs w:val="21"/>
        </w:rPr>
        <w:t xml:space="preserve"> by role, driven from Banner HR and student records where possible, not ad hoc requests.</w:t>
      </w:r>
    </w:p>
    <w:p>
      <w:pPr>
        <w:pStyle w:val="ListParagraph"/>
        <w:numPr>
          <w:ilvl w:val="0"/>
          <w:numId w:val="2"/>
        </w:numPr>
        <w:spacing w:after="60"/>
      </w:pPr>
      <w:r>
        <w:rPr>
          <w:rFonts w:ascii="Calibri" w:cs="Calibri" w:eastAsia="Calibri" w:hAnsi="Calibri"/>
          <w:b/>
          <w:bCs/>
          <w:sz w:val="21"/>
          <w:szCs w:val="21"/>
        </w:rPr>
        <w:t xml:space="preserve">Role changes</w:t>
      </w:r>
      <w:r>
        <w:rPr>
          <w:rFonts w:ascii="Calibri" w:cs="Calibri" w:eastAsia="Calibri" w:hAnsi="Calibri"/>
          <w:sz w:val="21"/>
          <w:szCs w:val="21"/>
        </w:rPr>
        <w:t xml:space="preserve"> trigger access review — staff who move departments lose the old access.</w:t>
      </w:r>
    </w:p>
    <w:p>
      <w:pPr>
        <w:pStyle w:val="ListParagraph"/>
        <w:numPr>
          <w:ilvl w:val="0"/>
          <w:numId w:val="2"/>
        </w:numPr>
        <w:spacing w:after="60"/>
      </w:pPr>
      <w:r>
        <w:rPr>
          <w:rFonts w:ascii="Calibri" w:cs="Calibri" w:eastAsia="Calibri" w:hAnsi="Calibri"/>
          <w:b/>
          <w:bCs/>
          <w:sz w:val="21"/>
          <w:szCs w:val="21"/>
        </w:rPr>
        <w:t xml:space="preserve">Students</w:t>
      </w:r>
      <w:r>
        <w:rPr>
          <w:rFonts w:ascii="Calibri" w:cs="Calibri" w:eastAsia="Calibri" w:hAnsi="Calibri"/>
          <w:sz w:val="21"/>
          <w:szCs w:val="21"/>
        </w:rPr>
        <w:t xml:space="preserve"> — accounts created at application or enrollment; disabled after a defined period without enrollment, with notice before access ends.</w:t>
      </w:r>
    </w:p>
    <w:p>
      <w:pPr>
        <w:pStyle w:val="ListParagraph"/>
        <w:numPr>
          <w:ilvl w:val="0"/>
          <w:numId w:val="2"/>
        </w:numPr>
        <w:spacing w:after="60"/>
      </w:pPr>
      <w:r>
        <w:rPr>
          <w:rFonts w:ascii="Calibri" w:cs="Calibri" w:eastAsia="Calibri" w:hAnsi="Calibri"/>
          <w:b/>
          <w:bCs/>
          <w:sz w:val="21"/>
          <w:szCs w:val="21"/>
        </w:rPr>
        <w:t xml:space="preserve">Deprovisioning</w:t>
      </w:r>
      <w:r>
        <w:rPr>
          <w:rFonts w:ascii="Calibri" w:cs="Calibri" w:eastAsia="Calibri" w:hAnsi="Calibri"/>
          <w:sz w:val="21"/>
          <w:szCs w:val="21"/>
        </w:rPr>
        <w:t xml:space="preserve"> on the last day for employees; adjuncts not teaching for a set number of terms are disabled; student workers lose staff access when the job ends, even if they stay enrolled.</w:t>
      </w:r>
    </w:p>
    <w:p>
      <w:pPr>
        <w:pStyle w:val="ListParagraph"/>
        <w:numPr>
          <w:ilvl w:val="0"/>
          <w:numId w:val="2"/>
        </w:numPr>
        <w:spacing w:after="60"/>
      </w:pPr>
      <w:r>
        <w:rPr>
          <w:rFonts w:ascii="Calibri" w:cs="Calibri" w:eastAsia="Calibri" w:hAnsi="Calibri"/>
          <w:b/>
          <w:bCs/>
          <w:sz w:val="21"/>
          <w:szCs w:val="21"/>
        </w:rPr>
        <w:t xml:space="preserve">Periodic access reviews</w:t>
      </w:r>
      <w:r>
        <w:rPr>
          <w:rFonts w:ascii="Calibri" w:cs="Calibri" w:eastAsia="Calibri" w:hAnsi="Calibri"/>
          <w:sz w:val="21"/>
          <w:szCs w:val="21"/>
        </w:rPr>
        <w:t xml:space="preserve"> — each term for Banner Admin and other Restricted systems; annually for everything else.</w:t>
      </w:r>
    </w:p>
    <w:p>
      <w:pPr>
        <w:pStyle w:val="ListParagraph"/>
        <w:numPr>
          <w:ilvl w:val="0"/>
          <w:numId w:val="2"/>
        </w:numPr>
        <w:spacing w:after="60"/>
      </w:pPr>
      <w:r>
        <w:rPr>
          <w:rFonts w:ascii="Calibri" w:cs="Calibri" w:eastAsia="Calibri" w:hAnsi="Calibri"/>
          <w:b/>
          <w:bCs/>
          <w:sz w:val="21"/>
          <w:szCs w:val="21"/>
        </w:rPr>
        <w:t xml:space="preserve">Privileged accounts</w:t>
      </w:r>
      <w:r>
        <w:rPr>
          <w:rFonts w:ascii="Calibri" w:cs="Calibri" w:eastAsia="Calibri" w:hAnsi="Calibri"/>
          <w:sz w:val="21"/>
          <w:szCs w:val="21"/>
        </w:rPr>
        <w:t xml:space="preserve"> separate from daily accounts, reviewed quarterly.</w:t>
      </w:r>
    </w:p>
    <w:p>
      <w:pPr>
        <w:pStyle w:val="Heading2"/>
        <w:spacing w:after="80" w:before="200"/>
      </w:pPr>
      <w:r>
        <w:rPr>
          <w:rFonts w:ascii="Calibri" w:cs="Calibri" w:eastAsia="Calibri" w:hAnsi="Calibri"/>
          <w:b/>
          <w:bCs/>
          <w:color w:val="2E75B6"/>
          <w:sz w:val="24"/>
          <w:szCs w:val="24"/>
        </w:rPr>
        <w:t xml:space="preserve">District-managed devices and loaners</w:t>
      </w:r>
    </w:p>
    <w:p>
      <w:pPr>
        <w:pStyle w:val="ListParagraph"/>
        <w:numPr>
          <w:ilvl w:val="0"/>
          <w:numId w:val="2"/>
        </w:numPr>
        <w:spacing w:after="60"/>
      </w:pPr>
      <w:r>
        <w:rPr>
          <w:rFonts w:ascii="Calibri" w:cs="Calibri" w:eastAsia="Calibri" w:hAnsi="Calibri"/>
          <w:sz w:val="21"/>
          <w:szCs w:val="21"/>
        </w:rPr>
        <w:t xml:space="preserve">Loaner laptops and hotspots count as District-managed; wiped and reimaged on return.</w:t>
      </w:r>
    </w:p>
    <w:p>
      <w:pPr>
        <w:pStyle w:val="ListParagraph"/>
        <w:numPr>
          <w:ilvl w:val="0"/>
          <w:numId w:val="2"/>
        </w:numPr>
        <w:spacing w:after="60"/>
      </w:pPr>
      <w:r>
        <w:rPr>
          <w:rFonts w:ascii="Calibri" w:cs="Calibri" w:eastAsia="Calibri" w:hAnsi="Calibri"/>
          <w:sz w:val="21"/>
          <w:szCs w:val="21"/>
        </w:rPr>
        <w:t xml:space="preserve">Devices returned at separation; District data removed before reissue or disposal.</w:t>
      </w:r>
    </w:p>
    <w:p>
      <w:pPr>
        <w:pStyle w:val="Heading1"/>
        <w:pBdr>
          <w:bottom w:val="single" w:color="2E75B6" w:sz="8" w:space="2"/>
        </w:pBdr>
        <w:spacing w:after="120" w:before="280"/>
      </w:pPr>
      <w:r>
        <w:rPr>
          <w:rFonts w:ascii="Calibri" w:cs="Calibri" w:eastAsia="Calibri" w:hAnsi="Calibri"/>
          <w:b/>
          <w:bCs/>
          <w:color w:val="1F3864"/>
          <w:sz w:val="30"/>
          <w:szCs w:val="30"/>
        </w:rPr>
        <w:t xml:space="preserve">11. Draft Outline — Board Policy</w:t>
      </w:r>
    </w:p>
    <w:p>
      <w:pPr>
        <w:spacing w:after="120" w:before="0"/>
      </w:pPr>
      <w:r>
        <w:rPr>
          <w:rFonts w:ascii="Calibri" w:cs="Calibri" w:eastAsia="Calibri" w:hAnsi="Calibri"/>
          <w:sz w:val="21"/>
          <w:szCs w:val="21"/>
        </w:rPr>
        <w:t xml:space="preserve">Target length: 2–4 pages. Detail stays in the standards.</w:t>
      </w:r>
    </w:p>
    <w:p>
      <w:pPr>
        <w:pStyle w:val="ListParagraph"/>
        <w:numPr>
          <w:ilvl w:val="0"/>
          <w:numId w:val="3"/>
        </w:numPr>
        <w:spacing w:after="60"/>
      </w:pPr>
      <w:r>
        <w:rPr>
          <w:rFonts w:ascii="Calibri" w:cs="Calibri" w:eastAsia="Calibri" w:hAnsi="Calibri"/>
          <w:b/>
          <w:bCs/>
          <w:sz w:val="21"/>
          <w:szCs w:val="21"/>
        </w:rPr>
        <w:t xml:space="preserve">Purpose</w:t>
      </w:r>
      <w:r>
        <w:rPr>
          <w:rFonts w:ascii="Calibri" w:cs="Calibri" w:eastAsia="Calibri" w:hAnsi="Calibri"/>
          <w:sz w:val="21"/>
          <w:szCs w:val="21"/>
        </w:rPr>
        <w:t xml:space="preserve"> — technology supports the mission; access is a privilege with obligations.</w:t>
      </w:r>
    </w:p>
    <w:p>
      <w:pPr>
        <w:pStyle w:val="ListParagraph"/>
        <w:numPr>
          <w:ilvl w:val="0"/>
          <w:numId w:val="3"/>
        </w:numPr>
        <w:spacing w:after="60"/>
      </w:pPr>
      <w:r>
        <w:rPr>
          <w:rFonts w:ascii="Calibri" w:cs="Calibri" w:eastAsia="Calibri" w:hAnsi="Calibri"/>
          <w:b/>
          <w:bCs/>
          <w:sz w:val="21"/>
          <w:szCs w:val="21"/>
        </w:rPr>
        <w:t xml:space="preserve">Scope</w:t>
      </w:r>
      <w:r>
        <w:rPr>
          <w:rFonts w:ascii="Calibri" w:cs="Calibri" w:eastAsia="Calibri" w:hAnsi="Calibri"/>
          <w:sz w:val="21"/>
          <w:szCs w:val="21"/>
        </w:rPr>
        <w:t xml:space="preserve"> — all users, all District technology and data, on or off campus, District-owned or personal devices when used for District business.</w:t>
      </w:r>
    </w:p>
    <w:p>
      <w:pPr>
        <w:pStyle w:val="ListParagraph"/>
        <w:numPr>
          <w:ilvl w:val="0"/>
          <w:numId w:val="3"/>
        </w:numPr>
        <w:spacing w:after="60"/>
      </w:pPr>
      <w:r>
        <w:rPr>
          <w:rFonts w:ascii="Calibri" w:cs="Calibri" w:eastAsia="Calibri" w:hAnsi="Calibri"/>
          <w:b/>
          <w:bCs/>
          <w:sz w:val="21"/>
          <w:szCs w:val="21"/>
        </w:rPr>
        <w:t xml:space="preserve">Definitions</w:t>
      </w:r>
      <w:r>
        <w:rPr>
          <w:rFonts w:ascii="Calibri" w:cs="Calibri" w:eastAsia="Calibri" w:hAnsi="Calibri"/>
          <w:sz w:val="21"/>
          <w:szCs w:val="21"/>
        </w:rPr>
        <w:t xml:space="preserve"> — technology resources, District data, data classes, personal device, generative AI.</w:t>
      </w:r>
    </w:p>
    <w:p>
      <w:pPr>
        <w:pStyle w:val="ListParagraph"/>
        <w:numPr>
          <w:ilvl w:val="0"/>
          <w:numId w:val="3"/>
        </w:numPr>
        <w:spacing w:after="60"/>
      </w:pPr>
      <w:r>
        <w:rPr>
          <w:rFonts w:ascii="Calibri" w:cs="Calibri" w:eastAsia="Calibri" w:hAnsi="Calibri"/>
          <w:b/>
          <w:bCs/>
          <w:sz w:val="21"/>
          <w:szCs w:val="21"/>
        </w:rPr>
        <w:t xml:space="preserve">User responsibilities</w:t>
      </w:r>
      <w:r>
        <w:rPr>
          <w:rFonts w:ascii="Calibri" w:cs="Calibri" w:eastAsia="Calibri" w:hAnsi="Calibri"/>
          <w:sz w:val="21"/>
          <w:szCs w:val="21"/>
        </w:rPr>
        <w:t xml:space="preserve"> — protect credentials and use MFA; handle data by class; report incidents and lost devices; complete required training; use District email for official business.</w:t>
      </w:r>
    </w:p>
    <w:p>
      <w:pPr>
        <w:pStyle w:val="ListParagraph"/>
        <w:numPr>
          <w:ilvl w:val="0"/>
          <w:numId w:val="3"/>
        </w:numPr>
        <w:spacing w:after="60"/>
      </w:pPr>
      <w:r>
        <w:rPr>
          <w:rFonts w:ascii="Calibri" w:cs="Calibri" w:eastAsia="Calibri" w:hAnsi="Calibri"/>
          <w:b/>
          <w:bCs/>
          <w:sz w:val="21"/>
          <w:szCs w:val="21"/>
        </w:rPr>
        <w:t xml:space="preserve">Prohibited conduct</w:t>
      </w:r>
      <w:r>
        <w:rPr>
          <w:rFonts w:ascii="Calibri" w:cs="Calibri" w:eastAsia="Calibri" w:hAnsi="Calibri"/>
          <w:sz w:val="21"/>
          <w:szCs w:val="21"/>
        </w:rPr>
        <w:t xml:space="preserve"> — unauthorized access, bypassing security, malware, harassment, illegal content, copyright infringement, unauthorized disclosure of Restricted data, personal commercial use, partisan political activity.</w:t>
      </w:r>
    </w:p>
    <w:p>
      <w:pPr>
        <w:pStyle w:val="ListParagraph"/>
        <w:numPr>
          <w:ilvl w:val="0"/>
          <w:numId w:val="3"/>
        </w:numPr>
        <w:spacing w:after="60"/>
      </w:pPr>
      <w:r>
        <w:rPr>
          <w:rFonts w:ascii="Calibri" w:cs="Calibri" w:eastAsia="Calibri" w:hAnsi="Calibri"/>
          <w:b/>
          <w:bCs/>
          <w:sz w:val="21"/>
          <w:szCs w:val="21"/>
        </w:rPr>
        <w:t xml:space="preserve">Personal use</w:t>
      </w:r>
      <w:r>
        <w:rPr>
          <w:rFonts w:ascii="Calibri" w:cs="Calibri" w:eastAsia="Calibri" w:hAnsi="Calibri"/>
          <w:sz w:val="21"/>
          <w:szCs w:val="21"/>
        </w:rPr>
        <w:t xml:space="preserve"> — limited incidental use allowed if it doesn't interfere with work or violate policy.</w:t>
      </w:r>
    </w:p>
    <w:p>
      <w:pPr>
        <w:pStyle w:val="ListParagraph"/>
        <w:numPr>
          <w:ilvl w:val="0"/>
          <w:numId w:val="3"/>
        </w:numPr>
        <w:spacing w:after="60"/>
      </w:pPr>
      <w:r>
        <w:rPr>
          <w:rFonts w:ascii="Calibri" w:cs="Calibri" w:eastAsia="Calibri" w:hAnsi="Calibri"/>
          <w:b/>
          <w:bCs/>
          <w:sz w:val="21"/>
          <w:szCs w:val="21"/>
        </w:rPr>
        <w:t xml:space="preserve">Academic freedom</w:t>
      </w:r>
      <w:r>
        <w:rPr>
          <w:rFonts w:ascii="Calibri" w:cs="Calibri" w:eastAsia="Calibri" w:hAnsi="Calibri"/>
          <w:sz w:val="21"/>
          <w:szCs w:val="21"/>
        </w:rPr>
        <w:t xml:space="preserve"> — protected; does not extend to security or legal obligations.</w:t>
      </w:r>
    </w:p>
    <w:p>
      <w:pPr>
        <w:pStyle w:val="ListParagraph"/>
        <w:numPr>
          <w:ilvl w:val="0"/>
          <w:numId w:val="3"/>
        </w:numPr>
        <w:spacing w:after="60"/>
      </w:pPr>
      <w:r>
        <w:rPr>
          <w:rFonts w:ascii="Calibri" w:cs="Calibri" w:eastAsia="Calibri" w:hAnsi="Calibri"/>
          <w:b/>
          <w:bCs/>
          <w:sz w:val="21"/>
          <w:szCs w:val="21"/>
        </w:rPr>
        <w:t xml:space="preserve">Privacy and monitoring</w:t>
      </w:r>
      <w:r>
        <w:rPr>
          <w:rFonts w:ascii="Calibri" w:cs="Calibri" w:eastAsia="Calibri" w:hAnsi="Calibri"/>
          <w:sz w:val="21"/>
          <w:szCs w:val="21"/>
        </w:rPr>
        <w:t xml:space="preserve"> — one consistent notice: what the District logs, when content may be reviewed, who authorizes it.</w:t>
      </w:r>
    </w:p>
    <w:p>
      <w:pPr>
        <w:pStyle w:val="ListParagraph"/>
        <w:numPr>
          <w:ilvl w:val="0"/>
          <w:numId w:val="3"/>
        </w:numPr>
        <w:spacing w:after="60"/>
      </w:pPr>
      <w:r>
        <w:rPr>
          <w:rFonts w:ascii="Calibri" w:cs="Calibri" w:eastAsia="Calibri" w:hAnsi="Calibri"/>
          <w:b/>
          <w:bCs/>
          <w:sz w:val="21"/>
          <w:szCs w:val="21"/>
        </w:rPr>
        <w:t xml:space="preserve">Generative AI</w:t>
      </w:r>
      <w:r>
        <w:rPr>
          <w:rFonts w:ascii="Calibri" w:cs="Calibri" w:eastAsia="Calibri" w:hAnsi="Calibri"/>
          <w:sz w:val="21"/>
          <w:szCs w:val="21"/>
        </w:rPr>
        <w:t xml:space="preserve"> — principles; detail in Standard D.</w:t>
      </w:r>
    </w:p>
    <w:p>
      <w:pPr>
        <w:pStyle w:val="ListParagraph"/>
        <w:numPr>
          <w:ilvl w:val="0"/>
          <w:numId w:val="3"/>
        </w:numPr>
        <w:spacing w:after="60"/>
      </w:pPr>
      <w:r>
        <w:rPr>
          <w:rFonts w:ascii="Calibri" w:cs="Calibri" w:eastAsia="Calibri" w:hAnsi="Calibri"/>
          <w:b/>
          <w:bCs/>
          <w:sz w:val="21"/>
          <w:szCs w:val="21"/>
        </w:rPr>
        <w:t xml:space="preserve">Third parties and guests</w:t>
      </w:r>
      <w:r>
        <w:rPr>
          <w:rFonts w:ascii="Calibri" w:cs="Calibri" w:eastAsia="Calibri" w:hAnsi="Calibri"/>
          <w:sz w:val="21"/>
          <w:szCs w:val="21"/>
        </w:rPr>
        <w:t xml:space="preserve"> — principles; detail in Standard E.</w:t>
      </w:r>
    </w:p>
    <w:p>
      <w:pPr>
        <w:pStyle w:val="ListParagraph"/>
        <w:numPr>
          <w:ilvl w:val="0"/>
          <w:numId w:val="3"/>
        </w:numPr>
        <w:spacing w:after="60"/>
      </w:pPr>
      <w:r>
        <w:rPr>
          <w:rFonts w:ascii="Calibri" w:cs="Calibri" w:eastAsia="Calibri" w:hAnsi="Calibri"/>
          <w:b/>
          <w:bCs/>
          <w:sz w:val="21"/>
          <w:szCs w:val="21"/>
        </w:rPr>
        <w:t xml:space="preserve">Exceptions</w:t>
      </w:r>
      <w:r>
        <w:rPr>
          <w:rFonts w:ascii="Calibri" w:cs="Calibri" w:eastAsia="Calibri" w:hAnsi="Calibri"/>
          <w:sz w:val="21"/>
          <w:szCs w:val="21"/>
        </w:rPr>
        <w:t xml:space="preserve"> — written, time-limited, approved by the CISO or CIO, tracked in a register.</w:t>
      </w:r>
    </w:p>
    <w:p>
      <w:pPr>
        <w:pStyle w:val="ListParagraph"/>
        <w:numPr>
          <w:ilvl w:val="0"/>
          <w:numId w:val="3"/>
        </w:numPr>
        <w:spacing w:after="60"/>
      </w:pPr>
      <w:r>
        <w:rPr>
          <w:rFonts w:ascii="Calibri" w:cs="Calibri" w:eastAsia="Calibri" w:hAnsi="Calibri"/>
          <w:b/>
          <w:bCs/>
          <w:sz w:val="21"/>
          <w:szCs w:val="21"/>
        </w:rPr>
        <w:t xml:space="preserve">Enforcement</w:t>
      </w:r>
      <w:r>
        <w:rPr>
          <w:rFonts w:ascii="Calibri" w:cs="Calibri" w:eastAsia="Calibri" w:hAnsi="Calibri"/>
          <w:sz w:val="21"/>
          <w:szCs w:val="21"/>
        </w:rPr>
        <w:t xml:space="preserve"> — access suspension, then discipline through Student Code, HR policy, collective bargaining agreements, or contract.</w:t>
      </w:r>
    </w:p>
    <w:p>
      <w:pPr>
        <w:pStyle w:val="ListParagraph"/>
        <w:numPr>
          <w:ilvl w:val="0"/>
          <w:numId w:val="3"/>
        </w:numPr>
        <w:spacing w:after="60"/>
      </w:pPr>
      <w:r>
        <w:rPr>
          <w:rFonts w:ascii="Calibri" w:cs="Calibri" w:eastAsia="Calibri" w:hAnsi="Calibri"/>
          <w:b/>
          <w:bCs/>
          <w:sz w:val="21"/>
          <w:szCs w:val="21"/>
        </w:rPr>
        <w:t xml:space="preserve">Roles</w:t>
      </w:r>
      <w:r>
        <w:rPr>
          <w:rFonts w:ascii="Calibri" w:cs="Calibri" w:eastAsia="Calibri" w:hAnsi="Calibri"/>
          <w:sz w:val="21"/>
          <w:szCs w:val="21"/>
        </w:rPr>
        <w:t xml:space="preserve"> — CIO (owner), CISO (security standards), HR, Student Services, General Counsel, supervisors, users.</w:t>
      </w:r>
    </w:p>
    <w:p>
      <w:pPr>
        <w:pStyle w:val="ListParagraph"/>
        <w:numPr>
          <w:ilvl w:val="0"/>
          <w:numId w:val="3"/>
        </w:numPr>
        <w:spacing w:after="60"/>
      </w:pPr>
      <w:r>
        <w:rPr>
          <w:rFonts w:ascii="Calibri" w:cs="Calibri" w:eastAsia="Calibri" w:hAnsi="Calibri"/>
          <w:b/>
          <w:bCs/>
          <w:sz w:val="21"/>
          <w:szCs w:val="21"/>
        </w:rPr>
        <w:t xml:space="preserve">Related policies and legal references</w:t>
      </w:r>
      <w:r>
        <w:rPr>
          <w:rFonts w:ascii="Calibri" w:cs="Calibri" w:eastAsia="Calibri" w:hAnsi="Calibri"/>
          <w:sz w:val="21"/>
          <w:szCs w:val="21"/>
        </w:rPr>
        <w:t xml:space="preserve"> — WISP, Incident Response Plan, Student Code of Conduct, FERPA, GLBA, MCL 445.72, ADA Title II, Title 17, DMCA.</w:t>
      </w:r>
    </w:p>
    <w:p>
      <w:pPr>
        <w:pStyle w:val="ListParagraph"/>
        <w:numPr>
          <w:ilvl w:val="0"/>
          <w:numId w:val="3"/>
        </w:numPr>
        <w:spacing w:after="60"/>
      </w:pPr>
      <w:r>
        <w:rPr>
          <w:rFonts w:ascii="Calibri" w:cs="Calibri" w:eastAsia="Calibri" w:hAnsi="Calibri"/>
          <w:b/>
          <w:bCs/>
          <w:sz w:val="21"/>
          <w:szCs w:val="21"/>
        </w:rPr>
        <w:t xml:space="preserve">Review</w:t>
      </w:r>
      <w:r>
        <w:rPr>
          <w:rFonts w:ascii="Calibri" w:cs="Calibri" w:eastAsia="Calibri" w:hAnsi="Calibri"/>
          <w:sz w:val="21"/>
          <w:szCs w:val="21"/>
        </w:rPr>
        <w:t xml:space="preserve"> — annual review of standards; policy review every three years; revision history.</w:t>
      </w:r>
    </w:p>
    <w:p>
      <w:pPr>
        <w:pStyle w:val="Heading1"/>
        <w:pBdr>
          <w:bottom w:val="single" w:color="2E75B6" w:sz="8" w:space="2"/>
        </w:pBdr>
        <w:spacing w:after="120" w:before="280"/>
      </w:pPr>
      <w:r>
        <w:rPr>
          <w:rFonts w:ascii="Calibri" w:cs="Calibri" w:eastAsia="Calibri" w:hAnsi="Calibri"/>
          <w:b/>
          <w:bCs/>
          <w:color w:val="1F3864"/>
          <w:sz w:val="30"/>
          <w:szCs w:val="30"/>
        </w:rPr>
        <w:t xml:space="preserve">12.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3900"/>
        <w:gridCol w:w="2400"/>
        <w:gridCol w:w="1660"/>
      </w:tblGrid>
      <w:tr>
        <w:trPr>
          <w:cantSplit/>
          <w:tblHeader/>
        </w:trPr>
        <w:tc>
          <w:tcPr>
            <w:tcW w:type="dxa" w:w="14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Phase</w:t>
            </w:r>
          </w:p>
        </w:tc>
        <w:tc>
          <w:tcPr>
            <w:tcW w:type="dxa" w:w="39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Work</w:t>
            </w:r>
          </w:p>
        </w:tc>
        <w:tc>
          <w:tcPr>
            <w:tcW w:type="dxa" w:w="24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Output</w:t>
            </w:r>
          </w:p>
        </w:tc>
        <w:tc>
          <w:tcPr>
            <w:tcW w:type="dxa" w:w="166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Lead</w:t>
            </w:r>
          </w:p>
        </w:tc>
      </w:tr>
      <w:tr>
        <w:trPr>
          <w:cantSplit/>
          <w:tblHeader w:val="off"/>
        </w:trPr>
        <w:tc>
          <w:tcPr>
            <w:tcW w:type="dxa" w:w="14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1</w:t>
            </w:r>
          </w:p>
        </w:tc>
        <w:tc>
          <w:tcPr>
            <w:tcW w:type="dxa" w:w="39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Confirm architecture, data classes, and yellow-cell decisions. Complete the coverage matrix (Appendix A) with owners. Mark each matrix cell Enforced / Policy only / Planned.</w:t>
            </w:r>
          </w:p>
        </w:tc>
        <w:tc>
          <w:tcPr>
            <w:tcW w:type="dxa" w:w="24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Signed-off approach</w:t>
            </w:r>
          </w:p>
        </w:tc>
        <w:tc>
          <w:tcPr>
            <w:tcW w:type="dxa" w:w="16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CIO, CISO, Eric</w:t>
            </w:r>
          </w:p>
        </w:tc>
      </w:tr>
      <w:tr>
        <w:trPr>
          <w:cantSplit/>
          <w:tblHeader w:val="off"/>
        </w:trPr>
        <w:tc>
          <w:tcPr>
            <w:tcW w:type="dxa" w:w="14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2</w:t>
            </w:r>
          </w:p>
        </w:tc>
        <w:tc>
          <w:tcPr>
            <w:tcW w:type="dxa" w:w="39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Draft Board policy (from CIS template) and Standards A–E.</w:t>
            </w:r>
          </w:p>
        </w:tc>
        <w:tc>
          <w:tcPr>
            <w:tcW w:type="dxa" w:w="24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Draft package</w:t>
            </w:r>
          </w:p>
        </w:tc>
        <w:tc>
          <w:tcPr>
            <w:tcW w:type="dxa" w:w="166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Eric, CISO</w:t>
            </w:r>
          </w:p>
        </w:tc>
      </w:tr>
      <w:tr>
        <w:trPr>
          <w:cantSplit/>
          <w:tblHeader w:val="off"/>
        </w:trPr>
        <w:tc>
          <w:tcPr>
            <w:tcW w:type="dxa" w:w="14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3</w:t>
            </w:r>
          </w:p>
        </w:tc>
        <w:tc>
          <w:tcPr>
            <w:tcW w:type="dxa" w:w="39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Review with General Counsel, HR, Faculty/Academic Senate and bargaining units, Student Services, Financial Aid, CE.</w:t>
            </w:r>
          </w:p>
        </w:tc>
        <w:tc>
          <w:tcPr>
            <w:tcW w:type="dxa" w:w="24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Comment log and revisions</w:t>
            </w:r>
          </w:p>
        </w:tc>
        <w:tc>
          <w:tcPr>
            <w:tcW w:type="dxa" w:w="16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CIO</w:t>
            </w:r>
          </w:p>
        </w:tc>
      </w:tr>
      <w:tr>
        <w:trPr>
          <w:cantSplit/>
          <w:tblHeader w:val="off"/>
        </w:trPr>
        <w:tc>
          <w:tcPr>
            <w:tcW w:type="dxa" w:w="14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4</w:t>
            </w:r>
          </w:p>
        </w:tc>
        <w:tc>
          <w:tcPr>
            <w:tcW w:type="dxa" w:w="39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Board adoption of Tier 1; CIO approval of Tier 2.</w:t>
            </w:r>
          </w:p>
        </w:tc>
        <w:tc>
          <w:tcPr>
            <w:tcW w:type="dxa" w:w="24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Adopted policy</w:t>
            </w:r>
          </w:p>
        </w:tc>
        <w:tc>
          <w:tcPr>
            <w:tcW w:type="dxa" w:w="166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CIO, Chancellor's office</w:t>
            </w:r>
          </w:p>
        </w:tc>
      </w:tr>
      <w:tr>
        <w:trPr>
          <w:cantSplit/>
          <w:tblHeader w:val="off"/>
        </w:trPr>
        <w:tc>
          <w:tcPr>
            <w:tcW w:type="dxa" w:w="14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5</w:t>
            </w:r>
          </w:p>
        </w:tc>
        <w:tc>
          <w:tcPr>
            <w:tcW w:type="dxa" w:w="39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Rollout: stand up the SharePoint Policy Hub and lists; publish public layer to wcccd.edu; acknowledgment in onboarding and annual training; Help Desk FAQs; retire old pages.</w:t>
            </w:r>
          </w:p>
        </w:tc>
        <w:tc>
          <w:tcPr>
            <w:tcW w:type="dxa" w:w="240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Live policy set</w:t>
            </w:r>
          </w:p>
        </w:tc>
        <w:tc>
          <w:tcPr>
            <w:tcW w:type="dxa" w:w="1660"/>
            <w:shd w:fill="FFFFFF" w:color="auto" w:val="clear"/>
            <w:tcMar>
              <w:top w:type="dxa" w:w="60"/>
              <w:left w:type="dxa" w:w="90"/>
              <w:bottom w:type="dxa" w:w="60"/>
              <w:right w:type="dxa" w:w="90"/>
            </w:tcMar>
          </w:tcPr>
          <w:p>
            <w:pPr>
              <w:spacing w:after="20"/>
            </w:pPr>
            <w:r>
              <w:rPr>
                <w:rFonts w:ascii="Calibri" w:cs="Calibri" w:eastAsia="Calibri" w:hAnsi="Calibri"/>
                <w:sz w:val="18"/>
                <w:szCs w:val="18"/>
              </w:rPr>
              <w:t xml:space="preserve">IT, HR, Student Services</w:t>
            </w:r>
          </w:p>
        </w:tc>
      </w:tr>
      <w:tr>
        <w:trPr>
          <w:cantSplit/>
          <w:tblHeader w:val="off"/>
        </w:trPr>
        <w:tc>
          <w:tcPr>
            <w:tcW w:type="dxa" w:w="1400"/>
            <w:shd w:fill="DEEAF6"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6</w:t>
            </w:r>
          </w:p>
        </w:tc>
        <w:tc>
          <w:tcPr>
            <w:tcW w:type="dxa" w:w="39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Annual review; track exceptions and incidents to adjust standards.</w:t>
            </w:r>
          </w:p>
        </w:tc>
        <w:tc>
          <w:tcPr>
            <w:tcW w:type="dxa" w:w="240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Review record</w:t>
            </w:r>
          </w:p>
        </w:tc>
        <w:tc>
          <w:tcPr>
            <w:tcW w:type="dxa" w:w="1660"/>
            <w:shd w:fill="F2F2F2" w:color="auto" w:val="clear"/>
            <w:tcMar>
              <w:top w:type="dxa" w:w="60"/>
              <w:left w:type="dxa" w:w="90"/>
              <w:bottom w:type="dxa" w:w="60"/>
              <w:right w:type="dxa" w:w="90"/>
            </w:tcMar>
          </w:tcPr>
          <w:p>
            <w:pPr>
              <w:spacing w:after="20"/>
            </w:pPr>
            <w:r>
              <w:rPr>
                <w:rFonts w:ascii="Calibri" w:cs="Calibri" w:eastAsia="Calibri" w:hAnsi="Calibri"/>
                <w:sz w:val="18"/>
                <w:szCs w:val="18"/>
              </w:rPr>
              <w:t xml:space="preserve">CISO</w:t>
            </w:r>
          </w:p>
        </w:tc>
      </w:tr>
    </w:tbl>
    <w:p>
      <w:pPr>
        <w:pStyle w:val="Heading1"/>
        <w:pBdr>
          <w:bottom w:val="single" w:color="2E75B6" w:sz="8" w:space="2"/>
        </w:pBdr>
        <w:spacing w:after="120" w:before="280"/>
      </w:pPr>
      <w:r>
        <w:rPr>
          <w:rFonts w:ascii="Calibri" w:cs="Calibri" w:eastAsia="Calibri" w:hAnsi="Calibri"/>
          <w:b/>
          <w:bCs/>
          <w:color w:val="1F3864"/>
          <w:sz w:val="30"/>
          <w:szCs w:val="30"/>
        </w:rPr>
        <w:t xml:space="preserve">13. Decisions Needed</w:t>
      </w:r>
    </w:p>
    <w:p>
      <w:pPr>
        <w:pStyle w:val="ListParagraph"/>
        <w:numPr>
          <w:ilvl w:val="0"/>
          <w:numId w:val="4"/>
        </w:numPr>
        <w:spacing w:after="60"/>
      </w:pPr>
      <w:r>
        <w:rPr>
          <w:rFonts w:ascii="Calibri" w:cs="Calibri" w:eastAsia="Calibri" w:hAnsi="Calibri"/>
          <w:sz w:val="21"/>
          <w:szCs w:val="21"/>
        </w:rPr>
        <w:t xml:space="preserve">Approve the three-tier structure and the five standards.</w:t>
      </w:r>
    </w:p>
    <w:p>
      <w:pPr>
        <w:pStyle w:val="ListParagraph"/>
        <w:numPr>
          <w:ilvl w:val="0"/>
          <w:numId w:val="4"/>
        </w:numPr>
        <w:spacing w:after="60"/>
      </w:pPr>
      <w:r>
        <w:rPr>
          <w:rFonts w:ascii="Calibri" w:cs="Calibri" w:eastAsia="Calibri" w:hAnsi="Calibri"/>
          <w:sz w:val="21"/>
          <w:szCs w:val="21"/>
        </w:rPr>
        <w:t xml:space="preserve">Adopt the three data classes (Public, Internal, Restricted).</w:t>
      </w:r>
    </w:p>
    <w:p>
      <w:pPr>
        <w:pStyle w:val="ListParagraph"/>
        <w:numPr>
          <w:ilvl w:val="0"/>
          <w:numId w:val="4"/>
        </w:numPr>
        <w:spacing w:after="60"/>
      </w:pPr>
      <w:r>
        <w:rPr>
          <w:rFonts w:ascii="Calibri" w:cs="Calibri" w:eastAsia="Calibri" w:hAnsi="Calibri"/>
          <w:sz w:val="21"/>
          <w:szCs w:val="21"/>
        </w:rPr>
        <w:t xml:space="preserve">Set the BYOD stance for staff and student workers handling Restricted data (yellow cells in 6B and 6C).</w:t>
      </w:r>
    </w:p>
    <w:p>
      <w:pPr>
        <w:pStyle w:val="ListParagraph"/>
        <w:numPr>
          <w:ilvl w:val="0"/>
          <w:numId w:val="4"/>
        </w:numPr>
        <w:spacing w:after="60"/>
      </w:pPr>
      <w:r>
        <w:rPr>
          <w:rFonts w:ascii="Calibri" w:cs="Calibri" w:eastAsia="Calibri" w:hAnsi="Calibri"/>
          <w:sz w:val="21"/>
          <w:szCs w:val="21"/>
        </w:rPr>
        <w:t xml:space="preserve">Decide how Banner Admin is reached off campus: managed device only, virtual desktop, or VPN.</w:t>
      </w:r>
    </w:p>
    <w:p>
      <w:pPr>
        <w:pStyle w:val="ListParagraph"/>
        <w:numPr>
          <w:ilvl w:val="0"/>
          <w:numId w:val="4"/>
        </w:numPr>
        <w:spacing w:after="60"/>
      </w:pPr>
      <w:r>
        <w:rPr>
          <w:rFonts w:ascii="Calibri" w:cs="Calibri" w:eastAsia="Calibri" w:hAnsi="Calibri"/>
          <w:sz w:val="21"/>
          <w:szCs w:val="21"/>
        </w:rPr>
        <w:t xml:space="preserve">Confirm whether employees and students must sign an annual acknowledgment and whether access is suspended until training is completed (Maricopa model).</w:t>
      </w:r>
    </w:p>
    <w:p>
      <w:pPr>
        <w:pStyle w:val="ListParagraph"/>
        <w:numPr>
          <w:ilvl w:val="0"/>
          <w:numId w:val="4"/>
        </w:numPr>
        <w:spacing w:after="60"/>
      </w:pPr>
      <w:r>
        <w:rPr>
          <w:rFonts w:ascii="Calibri" w:cs="Calibri" w:eastAsia="Calibri" w:hAnsi="Calibri"/>
          <w:sz w:val="21"/>
          <w:szCs w:val="21"/>
        </w:rPr>
        <w:t xml:space="preserve">Name a standing review group (Macomb model) or fold this into the existing AI Working Group.</w:t>
      </w:r>
    </w:p>
    <w:p>
      <w:pPr>
        <w:pStyle w:val="ListParagraph"/>
        <w:numPr>
          <w:ilvl w:val="0"/>
          <w:numId w:val="4"/>
        </w:numPr>
        <w:spacing w:after="60"/>
      </w:pPr>
      <w:r>
        <w:rPr>
          <w:rFonts w:ascii="Calibri" w:cs="Calibri" w:eastAsia="Calibri" w:hAnsi="Calibri"/>
          <w:sz w:val="21"/>
          <w:szCs w:val="21"/>
        </w:rPr>
        <w:t xml:space="preserve">Confirm the ADA Title II deadline that applies to WCCCD with General Counsel.</w:t>
      </w:r>
    </w:p>
    <w:p>
      <w:pPr>
        <w:pStyle w:val="ListParagraph"/>
        <w:numPr>
          <w:ilvl w:val="0"/>
          <w:numId w:val="4"/>
        </w:numPr>
        <w:spacing w:after="60"/>
      </w:pPr>
      <w:r>
        <w:rPr>
          <w:rFonts w:ascii="Calibri" w:cs="Calibri" w:eastAsia="Calibri" w:hAnsi="Calibri"/>
          <w:sz w:val="21"/>
          <w:szCs w:val="21"/>
        </w:rPr>
        <w:t xml:space="preserve">Decide whether third-party AI note-taker bots are allowed in District meetings, and who approves AI features embedded in existing systems.</w:t>
      </w:r>
    </w:p>
    <w:p>
      <w:pPr>
        <w:pStyle w:val="ListParagraph"/>
        <w:numPr>
          <w:ilvl w:val="0"/>
          <w:numId w:val="4"/>
        </w:numPr>
        <w:spacing w:after="60"/>
      </w:pPr>
      <w:r>
        <w:rPr>
          <w:rFonts w:ascii="Calibri" w:cs="Calibri" w:eastAsia="Calibri" w:hAnsi="Calibri"/>
          <w:sz w:val="21"/>
          <w:szCs w:val="21"/>
        </w:rPr>
        <w:t xml:space="preserve">Confirm owners for each topic in Appendix A.</w:t>
      </w:r>
    </w:p>
    <w:p>
      <w:pPr>
        <w:pStyle w:val="ListParagraph"/>
        <w:numPr>
          <w:ilvl w:val="0"/>
          <w:numId w:val="4"/>
        </w:numPr>
        <w:spacing w:after="60"/>
      </w:pPr>
      <w:r>
        <w:rPr>
          <w:rFonts w:ascii="Calibri" w:cs="Calibri" w:eastAsia="Calibri" w:hAnsi="Calibri"/>
          <w:sz w:val="21"/>
          <w:szCs w:val="21"/>
        </w:rPr>
        <w:t xml:space="preserve">Approve the public/internal split and a SharePoint Policy Hub as the master copy, with wcccd.edu as the public channel.</w:t>
      </w:r>
    </w:p>
    <w:p>
      <w:pPr>
        <w:sectPr>
          <w:footerReference w:type="default" r:id="rId8"/>
          <w:pgSz w:w="12240" w:h="15840" w:orient="portrait"/>
          <w:pgMar w:top="1260" w:right="1440" w:bottom="1260" w:left="1440" w:header="708" w:footer="708" w:gutter="0"/>
          <w:pgNumType/>
          <w:docGrid w:linePitch="360"/>
        </w:sectPr>
      </w:pPr>
    </w:p>
    <w:p>
      <w:pPr>
        <w:pStyle w:val="Heading1"/>
        <w:pBdr>
          <w:bottom w:val="single" w:color="2E75B6" w:sz="8" w:space="2"/>
        </w:pBdr>
        <w:spacing w:after="120" w:before="280"/>
      </w:pPr>
      <w:r>
        <w:rPr>
          <w:rFonts w:ascii="Calibri" w:cs="Calibri" w:eastAsia="Calibri" w:hAnsi="Calibri"/>
          <w:b/>
          <w:bCs/>
          <w:color w:val="1F3864"/>
          <w:sz w:val="30"/>
          <w:szCs w:val="30"/>
        </w:rPr>
        <w:t xml:space="preserve">Appendix A. Policy Coverage Matrix</w:t>
      </w:r>
    </w:p>
    <w:p>
      <w:pPr>
        <w:spacing w:after="120" w:before="0"/>
      </w:pPr>
      <w:r>
        <w:rPr>
          <w:rFonts w:ascii="Calibri" w:cs="Calibri" w:eastAsia="Calibri" w:hAnsi="Calibri"/>
          <w:sz w:val="21"/>
          <w:szCs w:val="21"/>
        </w:rPr>
        <w:t xml:space="preserve">Checks that every topic has a home and an owner. "Current coverage" reflects the two published policies only; internal procedures may exist and need verification. Owners and priorities are proposed.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600"/>
        <w:gridCol w:w="3280"/>
        <w:gridCol w:w="2100"/>
        <w:gridCol w:w="1900"/>
        <w:gridCol w:w="1300"/>
      </w:tblGrid>
      <w:tr>
        <w:trPr>
          <w:cantSplit/>
          <w:tblHeader/>
        </w:trPr>
        <w:tc>
          <w:tcPr>
            <w:tcW w:type="dxa" w:w="25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6"/>
                <w:szCs w:val="16"/>
              </w:rPr>
              <w:t xml:space="preserve">Topic</w:t>
            </w:r>
          </w:p>
        </w:tc>
        <w:tc>
          <w:tcPr>
            <w:tcW w:type="dxa" w:w="26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6"/>
                <w:szCs w:val="16"/>
              </w:rPr>
              <w:t xml:space="preserve">Current WCCCD coverage</w:t>
            </w:r>
          </w:p>
        </w:tc>
        <w:tc>
          <w:tcPr>
            <w:tcW w:type="dxa" w:w="328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6"/>
                <w:szCs w:val="16"/>
              </w:rPr>
              <w:t xml:space="preserve">Gap or decision</w:t>
            </w:r>
          </w:p>
        </w:tc>
        <w:tc>
          <w:tcPr>
            <w:tcW w:type="dxa" w:w="21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6"/>
                <w:szCs w:val="16"/>
              </w:rPr>
              <w:t xml:space="preserve">Proposed home</w:t>
            </w:r>
          </w:p>
        </w:tc>
        <w:tc>
          <w:tcPr>
            <w:tcW w:type="dxa" w:w="19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6"/>
                <w:szCs w:val="16"/>
              </w:rPr>
              <w:t xml:space="preserve">Owner</w:t>
            </w:r>
          </w:p>
        </w:tc>
        <w:tc>
          <w:tcPr>
            <w:tcW w:type="dxa" w:w="1300"/>
            <w:shd w:fill="1F3864" w:color="auto" w:val="clear"/>
            <w:tcMar>
              <w:top w:type="dxa" w:w="60"/>
              <w:left w:type="dxa" w:w="90"/>
              <w:bottom w:type="dxa" w:w="60"/>
              <w:right w:type="dxa" w:w="90"/>
            </w:tcMar>
          </w:tcPr>
          <w:p>
            <w:pPr>
              <w:spacing w:after="20"/>
            </w:pPr>
            <w:r>
              <w:rPr>
                <w:rFonts w:ascii="Calibri" w:cs="Calibri" w:eastAsia="Calibri" w:hAnsi="Calibri"/>
                <w:b/>
                <w:bCs/>
                <w:color w:val="FFFFFF"/>
                <w:sz w:val="16"/>
                <w:szCs w:val="16"/>
              </w:rPr>
              <w:t xml:space="preserve">Priority</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Scope and personas</w:t>
            </w:r>
          </w:p>
        </w:tc>
        <w:tc>
          <w:tcPr>
            <w:tcW w:type="dxa" w:w="26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Partial — students missing from device policy</w:t>
            </w:r>
          </w:p>
        </w:tc>
        <w:tc>
          <w:tcPr>
            <w:tcW w:type="dxa" w:w="328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Cover all seven personas; dual-role rule</w:t>
            </w:r>
          </w:p>
        </w:tc>
        <w:tc>
          <w:tcPr>
            <w:tcW w:type="dxa" w:w="21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Board policy</w:t>
            </w:r>
          </w:p>
        </w:tc>
        <w:tc>
          <w:tcPr>
            <w:tcW w:type="dxa" w:w="19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CIO</w:t>
            </w:r>
          </w:p>
        </w:tc>
        <w:tc>
          <w:tcPr>
            <w:tcW w:type="dxa" w:w="13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High</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Credentials and MFA</w:t>
            </w:r>
          </w:p>
        </w:tc>
        <w:tc>
          <w:tcPr>
            <w:tcW w:type="dxa" w:w="26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Passwords only</w:t>
            </w:r>
          </w:p>
        </w:tc>
        <w:tc>
          <w:tcPr>
            <w:tcW w:type="dxa" w:w="328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MFA for all; phishing-resistant for privileged</w:t>
            </w:r>
          </w:p>
        </w:tc>
        <w:tc>
          <w:tcPr>
            <w:tcW w:type="dxa" w:w="21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Board policy; Std C</w:t>
            </w:r>
          </w:p>
        </w:tc>
        <w:tc>
          <w:tcPr>
            <w:tcW w:type="dxa" w:w="19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CISO</w:t>
            </w:r>
          </w:p>
        </w:tc>
        <w:tc>
          <w:tcPr>
            <w:tcW w:type="dxa" w:w="13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High</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Data classification</w:t>
            </w:r>
          </w:p>
        </w:tc>
        <w:tc>
          <w:tcPr>
            <w:tcW w:type="dxa" w:w="26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None</w:t>
            </w:r>
          </w:p>
        </w:tc>
        <w:tc>
          <w:tcPr>
            <w:tcW w:type="dxa" w:w="328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Adopt Public / Internal / Restricted</w:t>
            </w:r>
          </w:p>
        </w:tc>
        <w:tc>
          <w:tcPr>
            <w:tcW w:type="dxa" w:w="21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Std B</w:t>
            </w:r>
          </w:p>
        </w:tc>
        <w:tc>
          <w:tcPr>
            <w:tcW w:type="dxa" w:w="19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CISO; General Counsel</w:t>
            </w:r>
          </w:p>
        </w:tc>
        <w:tc>
          <w:tcPr>
            <w:tcW w:type="dxa" w:w="13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High</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Restricted data handling</w:t>
            </w:r>
          </w:p>
        </w:tc>
        <w:tc>
          <w:tcPr>
            <w:tcW w:type="dxa" w:w="26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General statements</w:t>
            </w:r>
          </w:p>
        </w:tc>
        <w:tc>
          <w:tcPr>
            <w:tcW w:type="dxa" w:w="328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Activity rules (6D)</w:t>
            </w:r>
          </w:p>
        </w:tc>
        <w:tc>
          <w:tcPr>
            <w:tcW w:type="dxa" w:w="21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Std B</w:t>
            </w:r>
          </w:p>
        </w:tc>
        <w:tc>
          <w:tcPr>
            <w:tcW w:type="dxa" w:w="19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CISO; Registrar; Financial Aid</w:t>
            </w:r>
          </w:p>
        </w:tc>
        <w:tc>
          <w:tcPr>
            <w:tcW w:type="dxa" w:w="13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High</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Personal devices (BYOD)</w:t>
            </w:r>
          </w:p>
        </w:tc>
        <w:tc>
          <w:tcPr>
            <w:tcW w:type="dxa" w:w="26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Employees only; registration model</w:t>
            </w:r>
          </w:p>
        </w:tc>
        <w:tc>
          <w:tcPr>
            <w:tcW w:type="dxa" w:w="328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App protection model; student coverage</w:t>
            </w:r>
          </w:p>
        </w:tc>
        <w:tc>
          <w:tcPr>
            <w:tcW w:type="dxa" w:w="21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Std C</w:t>
            </w:r>
          </w:p>
        </w:tc>
        <w:tc>
          <w:tcPr>
            <w:tcW w:type="dxa" w:w="19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CISO</w:t>
            </w:r>
          </w:p>
        </w:tc>
        <w:tc>
          <w:tcPr>
            <w:tcW w:type="dxa" w:w="13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High</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District devices and loaners</w:t>
            </w:r>
          </w:p>
        </w:tc>
        <w:tc>
          <w:tcPr>
            <w:tcW w:type="dxa" w:w="26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Partial</w:t>
            </w:r>
          </w:p>
        </w:tc>
        <w:tc>
          <w:tcPr>
            <w:tcW w:type="dxa" w:w="328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Loaners, return, reimaging</w:t>
            </w:r>
          </w:p>
        </w:tc>
        <w:tc>
          <w:tcPr>
            <w:tcW w:type="dxa" w:w="21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Std C</w:t>
            </w:r>
          </w:p>
        </w:tc>
        <w:tc>
          <w:tcPr>
            <w:tcW w:type="dxa" w:w="19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IT Operations</w:t>
            </w:r>
          </w:p>
        </w:tc>
        <w:tc>
          <w:tcPr>
            <w:tcW w:type="dxa" w:w="13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Medium</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Removable storage</w:t>
            </w:r>
          </w:p>
        </w:tc>
        <w:tc>
          <w:tcPr>
            <w:tcW w:type="dxa" w:w="26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Not addressed</w:t>
            </w:r>
          </w:p>
        </w:tc>
        <w:tc>
          <w:tcPr>
            <w:tcW w:type="dxa" w:w="328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Encrypt or block</w:t>
            </w:r>
          </w:p>
        </w:tc>
        <w:tc>
          <w:tcPr>
            <w:tcW w:type="dxa" w:w="21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Std B / C</w:t>
            </w:r>
          </w:p>
        </w:tc>
        <w:tc>
          <w:tcPr>
            <w:tcW w:type="dxa" w:w="19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CISO</w:t>
            </w:r>
          </w:p>
        </w:tc>
        <w:tc>
          <w:tcPr>
            <w:tcW w:type="dxa" w:w="13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Medium</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Remote access / VPN</w:t>
            </w:r>
          </w:p>
        </w:tc>
        <w:tc>
          <w:tcPr>
            <w:tcW w:type="dxa" w:w="26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VPN plus inspection</w:t>
            </w:r>
          </w:p>
        </w:tc>
        <w:tc>
          <w:tcPr>
            <w:tcW w:type="dxa" w:w="328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Conditional access; VPN by exception</w:t>
            </w:r>
          </w:p>
        </w:tc>
        <w:tc>
          <w:tcPr>
            <w:tcW w:type="dxa" w:w="21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Std C</w:t>
            </w:r>
          </w:p>
        </w:tc>
        <w:tc>
          <w:tcPr>
            <w:tcW w:type="dxa" w:w="19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Network / CISO</w:t>
            </w:r>
          </w:p>
        </w:tc>
        <w:tc>
          <w:tcPr>
            <w:tcW w:type="dxa" w:w="13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High</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Banner Admin and Self-Service</w:t>
            </w:r>
          </w:p>
        </w:tc>
        <w:tc>
          <w:tcPr>
            <w:tcW w:type="dxa" w:w="26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Not addressed</w:t>
            </w:r>
          </w:p>
        </w:tc>
        <w:tc>
          <w:tcPr>
            <w:tcW w:type="dxa" w:w="328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Device rules; term access reviews</w:t>
            </w:r>
          </w:p>
        </w:tc>
        <w:tc>
          <w:tcPr>
            <w:tcW w:type="dxa" w:w="21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Std A</w:t>
            </w:r>
          </w:p>
        </w:tc>
        <w:tc>
          <w:tcPr>
            <w:tcW w:type="dxa" w:w="19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Banner team; CISO</w:t>
            </w:r>
          </w:p>
        </w:tc>
        <w:tc>
          <w:tcPr>
            <w:tcW w:type="dxa" w:w="13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High</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Blackboard</w:t>
            </w:r>
          </w:p>
        </w:tc>
        <w:tc>
          <w:tcPr>
            <w:tcW w:type="dxa" w:w="26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Not addressed</w:t>
            </w:r>
          </w:p>
        </w:tc>
        <w:tc>
          <w:tcPr>
            <w:tcW w:type="dxa" w:w="328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Grade export handling; LTI approval</w:t>
            </w:r>
          </w:p>
        </w:tc>
        <w:tc>
          <w:tcPr>
            <w:tcW w:type="dxa" w:w="21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Std A</w:t>
            </w:r>
          </w:p>
        </w:tc>
        <w:tc>
          <w:tcPr>
            <w:tcW w:type="dxa" w:w="19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Online Learning; IT</w:t>
            </w:r>
          </w:p>
        </w:tc>
        <w:tc>
          <w:tcPr>
            <w:tcW w:type="dxa" w:w="13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Medium</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Microsoft 365 (email, Teams, OneDrive, SharePoint)</w:t>
            </w:r>
          </w:p>
        </w:tc>
        <w:tc>
          <w:tcPr>
            <w:tcW w:type="dxa" w:w="26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Not addressed</w:t>
            </w:r>
          </w:p>
        </w:tc>
        <w:tc>
          <w:tcPr>
            <w:tcW w:type="dxa" w:w="328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App protection; sensitivity labels; external sharing</w:t>
            </w:r>
          </w:p>
        </w:tc>
        <w:tc>
          <w:tcPr>
            <w:tcW w:type="dxa" w:w="21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Std A</w:t>
            </w:r>
          </w:p>
        </w:tc>
        <w:tc>
          <w:tcPr>
            <w:tcW w:type="dxa" w:w="19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IT; CISO</w:t>
            </w:r>
          </w:p>
        </w:tc>
        <w:tc>
          <w:tcPr>
            <w:tcW w:type="dxa" w:w="13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High</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Document management (AppXtender / BDM)</w:t>
            </w:r>
          </w:p>
        </w:tc>
        <w:tc>
          <w:tcPr>
            <w:tcW w:type="dxa" w:w="26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Not addressed</w:t>
            </w:r>
          </w:p>
        </w:tc>
        <w:tc>
          <w:tcPr>
            <w:tcW w:type="dxa" w:w="328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Treat as Banner Admin</w:t>
            </w:r>
          </w:p>
        </w:tc>
        <w:tc>
          <w:tcPr>
            <w:tcW w:type="dxa" w:w="21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Std A</w:t>
            </w:r>
          </w:p>
        </w:tc>
        <w:tc>
          <w:tcPr>
            <w:tcW w:type="dxa" w:w="19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Banner team</w:t>
            </w:r>
          </w:p>
        </w:tc>
        <w:tc>
          <w:tcPr>
            <w:tcW w:type="dxa" w:w="13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Medium</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Generative AI (chat tools)</w:t>
            </w:r>
          </w:p>
        </w:tc>
        <w:tc>
          <w:tcPr>
            <w:tcW w:type="dxa" w:w="26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Not addressed</w:t>
            </w:r>
          </w:p>
        </w:tc>
        <w:tc>
          <w:tcPr>
            <w:tcW w:type="dxa" w:w="328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Approved list; data limits</w:t>
            </w:r>
          </w:p>
        </w:tc>
        <w:tc>
          <w:tcPr>
            <w:tcW w:type="dxa" w:w="21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Std D</w:t>
            </w:r>
          </w:p>
        </w:tc>
        <w:tc>
          <w:tcPr>
            <w:tcW w:type="dxa" w:w="19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AI Working Group; CISO</w:t>
            </w:r>
          </w:p>
        </w:tc>
        <w:tc>
          <w:tcPr>
            <w:tcW w:type="dxa" w:w="13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High</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Embedded AI, meeting assistants, agents</w:t>
            </w:r>
          </w:p>
        </w:tc>
        <w:tc>
          <w:tcPr>
            <w:tcW w:type="dxa" w:w="26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Not addressed</w:t>
            </w:r>
          </w:p>
        </w:tc>
        <w:tc>
          <w:tcPr>
            <w:tcW w:type="dxa" w:w="328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Feature review; note-taker bots; agent ownership</w:t>
            </w:r>
          </w:p>
        </w:tc>
        <w:tc>
          <w:tcPr>
            <w:tcW w:type="dxa" w:w="21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Std D</w:t>
            </w:r>
          </w:p>
        </w:tc>
        <w:tc>
          <w:tcPr>
            <w:tcW w:type="dxa" w:w="19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AI Working Group; CISO</w:t>
            </w:r>
          </w:p>
        </w:tc>
        <w:tc>
          <w:tcPr>
            <w:tcW w:type="dxa" w:w="13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High</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Third-party integrations</w:t>
            </w:r>
          </w:p>
        </w:tc>
        <w:tc>
          <w:tcPr>
            <w:tcW w:type="dxa" w:w="26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Not addressed</w:t>
            </w:r>
          </w:p>
        </w:tc>
        <w:tc>
          <w:tcPr>
            <w:tcW w:type="dxa" w:w="328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No user-authorized apps; data-flow review</w:t>
            </w:r>
          </w:p>
        </w:tc>
        <w:tc>
          <w:tcPr>
            <w:tcW w:type="dxa" w:w="21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Std A / E</w:t>
            </w:r>
          </w:p>
        </w:tc>
        <w:tc>
          <w:tcPr>
            <w:tcW w:type="dxa" w:w="19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CISO</w:t>
            </w:r>
          </w:p>
        </w:tc>
        <w:tc>
          <w:tcPr>
            <w:tcW w:type="dxa" w:w="13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High</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Vendors and contractors</w:t>
            </w:r>
          </w:p>
        </w:tc>
        <w:tc>
          <w:tcPr>
            <w:tcW w:type="dxa" w:w="26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In scope, no obligations</w:t>
            </w:r>
          </w:p>
        </w:tc>
        <w:tc>
          <w:tcPr>
            <w:tcW w:type="dxa" w:w="328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Sponsor, HECVAT, contract clauses, remote support</w:t>
            </w:r>
          </w:p>
        </w:tc>
        <w:tc>
          <w:tcPr>
            <w:tcW w:type="dxa" w:w="21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Std E</w:t>
            </w:r>
          </w:p>
        </w:tc>
        <w:tc>
          <w:tcPr>
            <w:tcW w:type="dxa" w:w="19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Procurement; CISO; General Counsel</w:t>
            </w:r>
          </w:p>
        </w:tc>
        <w:tc>
          <w:tcPr>
            <w:tcW w:type="dxa" w:w="13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High</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Guests</w:t>
            </w:r>
          </w:p>
        </w:tc>
        <w:tc>
          <w:tcPr>
            <w:tcW w:type="dxa" w:w="26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Not addressed</w:t>
            </w:r>
          </w:p>
        </w:tc>
        <w:tc>
          <w:tcPr>
            <w:tcW w:type="dxa" w:w="328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Guest Wi-Fi; sponsored accounts</w:t>
            </w:r>
          </w:p>
        </w:tc>
        <w:tc>
          <w:tcPr>
            <w:tcW w:type="dxa" w:w="21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Std E</w:t>
            </w:r>
          </w:p>
        </w:tc>
        <w:tc>
          <w:tcPr>
            <w:tcW w:type="dxa" w:w="19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Network</w:t>
            </w:r>
          </w:p>
        </w:tc>
        <w:tc>
          <w:tcPr>
            <w:tcW w:type="dxa" w:w="13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Low</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Account lifecycle</w:t>
            </w:r>
          </w:p>
        </w:tc>
        <w:tc>
          <w:tcPr>
            <w:tcW w:type="dxa" w:w="26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Not addressed</w:t>
            </w:r>
          </w:p>
        </w:tc>
        <w:tc>
          <w:tcPr>
            <w:tcW w:type="dxa" w:w="328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Role-based provisioning; deprovisioning; reviews</w:t>
            </w:r>
          </w:p>
        </w:tc>
        <w:tc>
          <w:tcPr>
            <w:tcW w:type="dxa" w:w="21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Section 10</w:t>
            </w:r>
          </w:p>
        </w:tc>
        <w:tc>
          <w:tcPr>
            <w:tcW w:type="dxa" w:w="19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IT; HR; Student Services</w:t>
            </w:r>
          </w:p>
        </w:tc>
        <w:tc>
          <w:tcPr>
            <w:tcW w:type="dxa" w:w="13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High</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Privileged access</w:t>
            </w:r>
          </w:p>
        </w:tc>
        <w:tc>
          <w:tcPr>
            <w:tcW w:type="dxa" w:w="26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Not addressed</w:t>
            </w:r>
          </w:p>
        </w:tc>
        <w:tc>
          <w:tcPr>
            <w:tcW w:type="dxa" w:w="328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Separate admin accounts; quarterly review</w:t>
            </w:r>
          </w:p>
        </w:tc>
        <w:tc>
          <w:tcPr>
            <w:tcW w:type="dxa" w:w="21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Std C</w:t>
            </w:r>
          </w:p>
        </w:tc>
        <w:tc>
          <w:tcPr>
            <w:tcW w:type="dxa" w:w="19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CISO</w:t>
            </w:r>
          </w:p>
        </w:tc>
        <w:tc>
          <w:tcPr>
            <w:tcW w:type="dxa" w:w="13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High</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Monitoring and privacy notice</w:t>
            </w:r>
          </w:p>
        </w:tc>
        <w:tc>
          <w:tcPr>
            <w:tcW w:type="dxa" w:w="26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Contradictory</w:t>
            </w:r>
          </w:p>
        </w:tc>
        <w:tc>
          <w:tcPr>
            <w:tcW w:type="dxa" w:w="328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One consistent notice</w:t>
            </w:r>
          </w:p>
        </w:tc>
        <w:tc>
          <w:tcPr>
            <w:tcW w:type="dxa" w:w="21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Board policy</w:t>
            </w:r>
          </w:p>
        </w:tc>
        <w:tc>
          <w:tcPr>
            <w:tcW w:type="dxa" w:w="19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General Counsel; CIO</w:t>
            </w:r>
          </w:p>
        </w:tc>
        <w:tc>
          <w:tcPr>
            <w:tcW w:type="dxa" w:w="13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High</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Incident and lost-device reporting</w:t>
            </w:r>
          </w:p>
        </w:tc>
        <w:tc>
          <w:tcPr>
            <w:tcW w:type="dxa" w:w="26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Lost devices only</w:t>
            </w:r>
          </w:p>
        </w:tc>
        <w:tc>
          <w:tcPr>
            <w:tcW w:type="dxa" w:w="328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All incidents; report immediately; ties to IR plan</w:t>
            </w:r>
          </w:p>
        </w:tc>
        <w:tc>
          <w:tcPr>
            <w:tcW w:type="dxa" w:w="21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Board policy; Std C</w:t>
            </w:r>
          </w:p>
        </w:tc>
        <w:tc>
          <w:tcPr>
            <w:tcW w:type="dxa" w:w="19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CISO</w:t>
            </w:r>
          </w:p>
        </w:tc>
        <w:tc>
          <w:tcPr>
            <w:tcW w:type="dxa" w:w="13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High</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Copyright and licensing</w:t>
            </w:r>
          </w:p>
        </w:tc>
        <w:tc>
          <w:tcPr>
            <w:tcW w:type="dxa" w:w="26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Covered</w:t>
            </w:r>
          </w:p>
        </w:tc>
        <w:tc>
          <w:tcPr>
            <w:tcW w:type="dxa" w:w="328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Keep; add DMCA reference</w:t>
            </w:r>
          </w:p>
        </w:tc>
        <w:tc>
          <w:tcPr>
            <w:tcW w:type="dxa" w:w="21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Board policy</w:t>
            </w:r>
          </w:p>
        </w:tc>
        <w:tc>
          <w:tcPr>
            <w:tcW w:type="dxa" w:w="19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General Counsel</w:t>
            </w:r>
          </w:p>
        </w:tc>
        <w:tc>
          <w:tcPr>
            <w:tcW w:type="dxa" w:w="13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Low</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Accessibility</w:t>
            </w:r>
          </w:p>
        </w:tc>
        <w:tc>
          <w:tcPr>
            <w:tcW w:type="dxa" w:w="26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Not addressed</w:t>
            </w:r>
          </w:p>
        </w:tc>
        <w:tc>
          <w:tcPr>
            <w:tcW w:type="dxa" w:w="328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Content creators' responsibility; vendor conformance</w:t>
            </w:r>
          </w:p>
        </w:tc>
        <w:tc>
          <w:tcPr>
            <w:tcW w:type="dxa" w:w="21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Board policy; Std E</w:t>
            </w:r>
          </w:p>
        </w:tc>
        <w:tc>
          <w:tcPr>
            <w:tcW w:type="dxa" w:w="19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ADA Coordinator; IT</w:t>
            </w:r>
          </w:p>
        </w:tc>
        <w:tc>
          <w:tcPr>
            <w:tcW w:type="dxa" w:w="13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Medium</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Incidental personal use</w:t>
            </w:r>
          </w:p>
        </w:tc>
        <w:tc>
          <w:tcPr>
            <w:tcW w:type="dxa" w:w="26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Personal profit only</w:t>
            </w:r>
          </w:p>
        </w:tc>
        <w:tc>
          <w:tcPr>
            <w:tcW w:type="dxa" w:w="328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Explicit limited-use rule</w:t>
            </w:r>
          </w:p>
        </w:tc>
        <w:tc>
          <w:tcPr>
            <w:tcW w:type="dxa" w:w="21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Board policy</w:t>
            </w:r>
          </w:p>
        </w:tc>
        <w:tc>
          <w:tcPr>
            <w:tcW w:type="dxa" w:w="19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HR</w:t>
            </w:r>
          </w:p>
        </w:tc>
        <w:tc>
          <w:tcPr>
            <w:tcW w:type="dxa" w:w="13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Low</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Records retention and disposal</w:t>
            </w:r>
          </w:p>
        </w:tc>
        <w:tc>
          <w:tcPr>
            <w:tcW w:type="dxa" w:w="26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Not addressed</w:t>
            </w:r>
          </w:p>
        </w:tc>
        <w:tc>
          <w:tcPr>
            <w:tcW w:type="dxa" w:w="328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Link to records schedule; secure destruction</w:t>
            </w:r>
          </w:p>
        </w:tc>
        <w:tc>
          <w:tcPr>
            <w:tcW w:type="dxa" w:w="21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Std B</w:t>
            </w:r>
          </w:p>
        </w:tc>
        <w:tc>
          <w:tcPr>
            <w:tcW w:type="dxa" w:w="19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Records management</w:t>
            </w:r>
          </w:p>
        </w:tc>
        <w:tc>
          <w:tcPr>
            <w:tcW w:type="dxa" w:w="13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Medium</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Exceptions</w:t>
            </w:r>
          </w:p>
        </w:tc>
        <w:tc>
          <w:tcPr>
            <w:tcW w:type="dxa" w:w="26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Not addressed</w:t>
            </w:r>
          </w:p>
        </w:tc>
        <w:tc>
          <w:tcPr>
            <w:tcW w:type="dxa" w:w="328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Time-limited process and register</w:t>
            </w:r>
          </w:p>
        </w:tc>
        <w:tc>
          <w:tcPr>
            <w:tcW w:type="dxa" w:w="21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Section 10</w:t>
            </w:r>
          </w:p>
        </w:tc>
        <w:tc>
          <w:tcPr>
            <w:tcW w:type="dxa" w:w="19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CISO</w:t>
            </w:r>
          </w:p>
        </w:tc>
        <w:tc>
          <w:tcPr>
            <w:tcW w:type="dxa" w:w="13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High</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Training and acknowledgment</w:t>
            </w:r>
          </w:p>
        </w:tc>
        <w:tc>
          <w:tcPr>
            <w:tcW w:type="dxa" w:w="26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Not addressed</w:t>
            </w:r>
          </w:p>
        </w:tc>
        <w:tc>
          <w:tcPr>
            <w:tcW w:type="dxa" w:w="328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Annual; tied to access</w:t>
            </w:r>
          </w:p>
        </w:tc>
        <w:tc>
          <w:tcPr>
            <w:tcW w:type="dxa" w:w="21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Board policy</w:t>
            </w:r>
          </w:p>
        </w:tc>
        <w:tc>
          <w:tcPr>
            <w:tcW w:type="dxa" w:w="19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HR; CISO</w:t>
            </w:r>
          </w:p>
        </w:tc>
        <w:tc>
          <w:tcPr>
            <w:tcW w:type="dxa" w:w="13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High</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Enforcement</w:t>
            </w:r>
          </w:p>
        </w:tc>
        <w:tc>
          <w:tcPr>
            <w:tcW w:type="dxa" w:w="26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Covered, generic</w:t>
            </w:r>
          </w:p>
        </w:tc>
        <w:tc>
          <w:tcPr>
            <w:tcW w:type="dxa" w:w="328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Route through Student Code, HR, contracts</w:t>
            </w:r>
          </w:p>
        </w:tc>
        <w:tc>
          <w:tcPr>
            <w:tcW w:type="dxa" w:w="21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Board policy</w:t>
            </w:r>
          </w:p>
        </w:tc>
        <w:tc>
          <w:tcPr>
            <w:tcW w:type="dxa" w:w="19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HR; Student Services</w:t>
            </w:r>
          </w:p>
        </w:tc>
        <w:tc>
          <w:tcPr>
            <w:tcW w:type="dxa" w:w="1300"/>
            <w:shd w:fill="F2F2F2" w:color="auto" w:val="clear"/>
            <w:tcMar>
              <w:top w:type="dxa" w:w="60"/>
              <w:left w:type="dxa" w:w="90"/>
              <w:bottom w:type="dxa" w:w="60"/>
              <w:right w:type="dxa" w:w="90"/>
            </w:tcMar>
          </w:tcPr>
          <w:p>
            <w:pPr>
              <w:spacing w:after="20"/>
            </w:pPr>
            <w:r>
              <w:rPr>
                <w:rFonts w:ascii="Calibri" w:cs="Calibri" w:eastAsia="Calibri" w:hAnsi="Calibri"/>
                <w:sz w:val="16"/>
                <w:szCs w:val="16"/>
              </w:rPr>
              <w:t xml:space="preserve">Medium</w:t>
            </w:r>
          </w:p>
        </w:tc>
      </w:tr>
      <w:tr>
        <w:trPr>
          <w:cantSplit/>
          <w:tblHeader w:val="off"/>
        </w:trPr>
        <w:tc>
          <w:tcPr>
            <w:tcW w:type="dxa" w:w="2500"/>
            <w:shd w:fill="DEEAF6" w:color="auto" w:val="clear"/>
            <w:tcMar>
              <w:top w:type="dxa" w:w="60"/>
              <w:left w:type="dxa" w:w="90"/>
              <w:bottom w:type="dxa" w:w="60"/>
              <w:right w:type="dxa" w:w="90"/>
            </w:tcMar>
          </w:tcPr>
          <w:p>
            <w:pPr>
              <w:spacing w:after="20"/>
            </w:pPr>
            <w:r>
              <w:rPr>
                <w:rFonts w:ascii="Calibri" w:cs="Calibri" w:eastAsia="Calibri" w:hAnsi="Calibri"/>
                <w:b/>
                <w:bCs/>
                <w:sz w:val="16"/>
                <w:szCs w:val="16"/>
              </w:rPr>
              <w:t xml:space="preserve">Governance and review</w:t>
            </w:r>
          </w:p>
        </w:tc>
        <w:tc>
          <w:tcPr>
            <w:tcW w:type="dxa" w:w="26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No owner or cycle</w:t>
            </w:r>
          </w:p>
        </w:tc>
        <w:tc>
          <w:tcPr>
            <w:tcW w:type="dxa" w:w="328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Owner, annual review, revision history</w:t>
            </w:r>
          </w:p>
        </w:tc>
        <w:tc>
          <w:tcPr>
            <w:tcW w:type="dxa" w:w="21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Board policy</w:t>
            </w:r>
          </w:p>
        </w:tc>
        <w:tc>
          <w:tcPr>
            <w:tcW w:type="dxa" w:w="19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CIO</w:t>
            </w:r>
          </w:p>
        </w:tc>
        <w:tc>
          <w:tcPr>
            <w:tcW w:type="dxa" w:w="1300"/>
            <w:shd w:fill="FFFFFF" w:color="auto" w:val="clear"/>
            <w:tcMar>
              <w:top w:type="dxa" w:w="60"/>
              <w:left w:type="dxa" w:w="90"/>
              <w:bottom w:type="dxa" w:w="60"/>
              <w:right w:type="dxa" w:w="90"/>
            </w:tcMar>
          </w:tcPr>
          <w:p>
            <w:pPr>
              <w:spacing w:after="20"/>
            </w:pPr>
            <w:r>
              <w:rPr>
                <w:rFonts w:ascii="Calibri" w:cs="Calibri" w:eastAsia="Calibri" w:hAnsi="Calibri"/>
                <w:sz w:val="16"/>
                <w:szCs w:val="16"/>
              </w:rPr>
              <w:t xml:space="preserve">High</w:t>
            </w:r>
          </w:p>
        </w:tc>
      </w:tr>
    </w:tbl>
    <w:p>
      <w:pPr>
        <w:sectPr>
          <w:footerReference w:type="default" r:id="rId9"/>
          <w:pgSz w:w="15840" w:h="12240" w:orient="landscape"/>
          <w:pgMar w:top="1080" w:right="1080" w:bottom="1080" w:left="1080" w:header="708" w:footer="708" w:gutter="0"/>
          <w:pgNumType/>
          <w:docGrid w:linePitch="360"/>
        </w:sectPr>
      </w:pPr>
    </w:p>
    <w:p>
      <w:pPr>
        <w:pStyle w:val="Heading1"/>
        <w:pBdr>
          <w:bottom w:val="single" w:color="2E75B6" w:sz="8" w:space="2"/>
        </w:pBdr>
        <w:spacing w:after="120" w:before="280"/>
      </w:pPr>
      <w:r>
        <w:rPr>
          <w:rFonts w:ascii="Calibri" w:cs="Calibri" w:eastAsia="Calibri" w:hAnsi="Calibri"/>
          <w:b/>
          <w:bCs/>
          <w:color w:val="1F3864"/>
          <w:sz w:val="30"/>
          <w:szCs w:val="30"/>
        </w:rPr>
        <w:t xml:space="preserve">Sources</w:t>
      </w:r>
    </w:p>
    <w:p>
      <w:pPr>
        <w:pStyle w:val="ListParagraph"/>
        <w:numPr>
          <w:ilvl w:val="0"/>
          <w:numId w:val="5"/>
        </w:numPr>
        <w:spacing w:after="40"/>
      </w:pPr>
      <w:r>
        <w:rPr>
          <w:rFonts w:ascii="Calibri" w:cs="Calibri" w:eastAsia="Calibri" w:hAnsi="Calibri"/>
          <w:sz w:val="18"/>
          <w:szCs w:val="18"/>
        </w:rPr>
        <w:t xml:space="preserve">WCCCD Acceptable Use Policy — </w:t>
      </w:r>
      <w:hyperlink w:history="1" r:id="rId6aj1ymezdzdo-3bnvl_vq">
        <w:r>
          <w:rPr>
            <w:rStyle w:val="Hyperlink"/>
            <w:rFonts w:ascii="Calibri" w:cs="Calibri" w:eastAsia="Calibri" w:hAnsi="Calibri"/>
            <w:sz w:val="18"/>
            <w:szCs w:val="18"/>
          </w:rPr>
          <w:t xml:space="preserve">https://www.wcccd.edu/divisions/information-technology/acceptable-use-policy</w:t>
        </w:r>
      </w:hyperlink>
    </w:p>
    <w:p>
      <w:pPr>
        <w:pStyle w:val="ListParagraph"/>
        <w:numPr>
          <w:ilvl w:val="0"/>
          <w:numId w:val="5"/>
        </w:numPr>
        <w:spacing w:after="40"/>
      </w:pPr>
      <w:r>
        <w:rPr>
          <w:rFonts w:ascii="Calibri" w:cs="Calibri" w:eastAsia="Calibri" w:hAnsi="Calibri"/>
          <w:sz w:val="18"/>
          <w:szCs w:val="18"/>
        </w:rPr>
        <w:t xml:space="preserve">WCCCD Mobile Device Acceptable Use Policy — </w:t>
      </w:r>
      <w:hyperlink w:history="1" r:id="rIdk3gp2_xqvge6sf7ohcp8v">
        <w:r>
          <w:rPr>
            <w:rStyle w:val="Hyperlink"/>
            <w:rFonts w:ascii="Calibri" w:cs="Calibri" w:eastAsia="Calibri" w:hAnsi="Calibri"/>
            <w:sz w:val="18"/>
            <w:szCs w:val="18"/>
          </w:rPr>
          <w:t xml:space="preserve">https://www.wcccd.edu/divisions/information-technology/mobile-device-acceptable-use-policy</w:t>
        </w:r>
      </w:hyperlink>
    </w:p>
    <w:p>
      <w:pPr>
        <w:pStyle w:val="ListParagraph"/>
        <w:numPr>
          <w:ilvl w:val="0"/>
          <w:numId w:val="5"/>
        </w:numPr>
        <w:spacing w:after="40"/>
      </w:pPr>
      <w:r>
        <w:rPr>
          <w:rFonts w:ascii="Calibri" w:cs="Calibri" w:eastAsia="Calibri" w:hAnsi="Calibri"/>
          <w:sz w:val="18"/>
          <w:szCs w:val="18"/>
        </w:rPr>
        <w:t xml:space="preserve">Maricopa CCD Board Policy 10.1, Acceptable Use — </w:t>
      </w:r>
      <w:hyperlink w:history="1" r:id="rIdvn0fhk3vcxsax42dwucs1">
        <w:r>
          <w:rPr>
            <w:rStyle w:val="Hyperlink"/>
            <w:rFonts w:ascii="Calibri" w:cs="Calibri" w:eastAsia="Calibri" w:hAnsi="Calibri"/>
            <w:sz w:val="18"/>
            <w:szCs w:val="18"/>
          </w:rPr>
          <w:t xml:space="preserve">https://cdn.maricopa.edu/documents/board-policies/10-1.pdf</w:t>
        </w:r>
      </w:hyperlink>
    </w:p>
    <w:p>
      <w:pPr>
        <w:pStyle w:val="ListParagraph"/>
        <w:numPr>
          <w:ilvl w:val="0"/>
          <w:numId w:val="5"/>
        </w:numPr>
        <w:spacing w:after="40"/>
      </w:pPr>
      <w:r>
        <w:rPr>
          <w:rFonts w:ascii="Calibri" w:cs="Calibri" w:eastAsia="Calibri" w:hAnsi="Calibri"/>
          <w:sz w:val="18"/>
          <w:szCs w:val="18"/>
        </w:rPr>
        <w:t xml:space="preserve">Macomb CC Acceptable Use of IT Resources — </w:t>
      </w:r>
      <w:hyperlink w:history="1" r:id="rIdjjkzzaedqq5vdtd6f9eqm">
        <w:r>
          <w:rPr>
            <w:rStyle w:val="Hyperlink"/>
            <w:rFonts w:ascii="Calibri" w:cs="Calibri" w:eastAsia="Calibri" w:hAnsi="Calibri"/>
            <w:sz w:val="18"/>
            <w:szCs w:val="18"/>
          </w:rPr>
          <w:t xml:space="preserve">https://www.macomb.edu/about-macomb/college-policies/administrative/acceptable.html</w:t>
        </w:r>
      </w:hyperlink>
    </w:p>
    <w:p>
      <w:pPr>
        <w:pStyle w:val="ListParagraph"/>
        <w:numPr>
          <w:ilvl w:val="0"/>
          <w:numId w:val="5"/>
        </w:numPr>
        <w:spacing w:after="40"/>
      </w:pPr>
      <w:r>
        <w:rPr>
          <w:rFonts w:ascii="Calibri" w:cs="Calibri" w:eastAsia="Calibri" w:hAnsi="Calibri"/>
          <w:sz w:val="18"/>
          <w:szCs w:val="18"/>
        </w:rPr>
        <w:t xml:space="preserve">Oakland CC Technology Appropriate Use Regulations — </w:t>
      </w:r>
      <w:hyperlink w:history="1" r:id="rIdzjby91sv63mthu0u8pnrp">
        <w:r>
          <w:rPr>
            <w:rStyle w:val="Hyperlink"/>
            <w:rFonts w:ascii="Calibri" w:cs="Calibri" w:eastAsia="Calibri" w:hAnsi="Calibri"/>
            <w:sz w:val="18"/>
            <w:szCs w:val="18"/>
          </w:rPr>
          <w:t xml:space="preserve">https://www.oaklandcc.edu/taur</w:t>
        </w:r>
      </w:hyperlink>
    </w:p>
    <w:p>
      <w:pPr>
        <w:pStyle w:val="ListParagraph"/>
        <w:numPr>
          <w:ilvl w:val="0"/>
          <w:numId w:val="5"/>
        </w:numPr>
        <w:spacing w:after="40"/>
      </w:pPr>
      <w:r>
        <w:rPr>
          <w:rFonts w:ascii="Calibri" w:cs="Calibri" w:eastAsia="Calibri" w:hAnsi="Calibri"/>
          <w:sz w:val="18"/>
          <w:szCs w:val="18"/>
        </w:rPr>
        <w:t xml:space="preserve">Henry Ford College Computer Systems AUP — </w:t>
      </w:r>
      <w:hyperlink w:history="1" r:id="rId8ttka9rv6pc65hm1prtxv">
        <w:r>
          <w:rPr>
            <w:rStyle w:val="Hyperlink"/>
            <w:rFonts w:ascii="Calibri" w:cs="Calibri" w:eastAsia="Calibri" w:hAnsi="Calibri"/>
            <w:sz w:val="18"/>
            <w:szCs w:val="18"/>
          </w:rPr>
          <w:t xml:space="preserve">https://policies.hfcc.edu/policy/computer-systems-acceptable</w:t>
        </w:r>
      </w:hyperlink>
    </w:p>
    <w:p>
      <w:pPr>
        <w:pStyle w:val="ListParagraph"/>
        <w:numPr>
          <w:ilvl w:val="0"/>
          <w:numId w:val="5"/>
        </w:numPr>
        <w:spacing w:after="40"/>
      </w:pPr>
      <w:r>
        <w:rPr>
          <w:rFonts w:ascii="Calibri" w:cs="Calibri" w:eastAsia="Calibri" w:hAnsi="Calibri"/>
          <w:sz w:val="18"/>
          <w:szCs w:val="18"/>
        </w:rPr>
        <w:t xml:space="preserve">Delta College Board Policy 8.020, AI — </w:t>
      </w:r>
      <w:hyperlink w:history="1" r:id="rIdkbt_3cxfd7d8kh8r9nxfd">
        <w:r>
          <w:rPr>
            <w:rStyle w:val="Hyperlink"/>
            <w:rFonts w:ascii="Calibri" w:cs="Calibri" w:eastAsia="Calibri" w:hAnsi="Calibri"/>
            <w:sz w:val="18"/>
            <w:szCs w:val="18"/>
          </w:rPr>
          <w:t xml:space="preserve">https://employees.delta.edu/board-approved-policies/8.020.html</w:t>
        </w:r>
      </w:hyperlink>
    </w:p>
    <w:p>
      <w:pPr>
        <w:pStyle w:val="ListParagraph"/>
        <w:numPr>
          <w:ilvl w:val="0"/>
          <w:numId w:val="5"/>
        </w:numPr>
        <w:spacing w:after="40"/>
      </w:pPr>
      <w:r>
        <w:rPr>
          <w:rFonts w:ascii="Calibri" w:cs="Calibri" w:eastAsia="Calibri" w:hAnsi="Calibri"/>
          <w:sz w:val="18"/>
          <w:szCs w:val="18"/>
        </w:rPr>
        <w:t xml:space="preserve">Monroe CC AUP (revised draft) — </w:t>
      </w:r>
      <w:hyperlink w:history="1" r:id="rIdanxm8z4rti0j8mmhvzppb">
        <w:r>
          <w:rPr>
            <w:rStyle w:val="Hyperlink"/>
            <w:rFonts w:ascii="Calibri" w:cs="Calibri" w:eastAsia="Calibri" w:hAnsi="Calibri"/>
            <w:sz w:val="18"/>
            <w:szCs w:val="18"/>
          </w:rPr>
          <w:t xml:space="preserve">https://www.monroecc.edu/webdbs/studtrib.nsf/100983649e11a018852588470053e91d/7F1BC9632E37665885258A5F00534112/$file/7.1%20MCC%20Acceptable%20Use%20of%20College%20Technology%20Policy%20(Revised%20Draft).pdf</w:t>
        </w:r>
      </w:hyperlink>
    </w:p>
    <w:p>
      <w:pPr>
        <w:pStyle w:val="ListParagraph"/>
        <w:numPr>
          <w:ilvl w:val="0"/>
          <w:numId w:val="5"/>
        </w:numPr>
        <w:spacing w:after="40"/>
      </w:pPr>
      <w:r>
        <w:rPr>
          <w:rFonts w:ascii="Calibri" w:cs="Calibri" w:eastAsia="Calibri" w:hAnsi="Calibri"/>
          <w:sz w:val="18"/>
          <w:szCs w:val="18"/>
        </w:rPr>
        <w:t xml:space="preserve">Chemeketa CC Generative AI Policy — </w:t>
      </w:r>
      <w:hyperlink w:history="1" r:id="rIdt0ixsbqlfytjdn_wcshmw">
        <w:r>
          <w:rPr>
            <w:rStyle w:val="Hyperlink"/>
            <w:rFonts w:ascii="Calibri" w:cs="Calibri" w:eastAsia="Calibri" w:hAnsi="Calibri"/>
            <w:sz w:val="18"/>
            <w:szCs w:val="18"/>
          </w:rPr>
          <w:t xml:space="preserve">https://chemeketa.edu/media/content-assets/documents/pdf/about/board-of-education/board-policies/chapter-3/BP-3730----Generative-Artificial-Intelligency-Administrative-Policy.pdf</w:t>
        </w:r>
      </w:hyperlink>
    </w:p>
    <w:p>
      <w:pPr>
        <w:pStyle w:val="ListParagraph"/>
        <w:numPr>
          <w:ilvl w:val="0"/>
          <w:numId w:val="5"/>
        </w:numPr>
        <w:spacing w:after="40"/>
      </w:pPr>
      <w:r>
        <w:rPr>
          <w:rFonts w:ascii="Calibri" w:cs="Calibri" w:eastAsia="Calibri" w:hAnsi="Calibri"/>
          <w:sz w:val="18"/>
          <w:szCs w:val="18"/>
        </w:rPr>
        <w:t xml:space="preserve">Palm Beach State College AI Policy 6.09 — </w:t>
      </w:r>
      <w:hyperlink w:history="1" r:id="rIdrkygqbiuykezrupczwzib">
        <w:r>
          <w:rPr>
            <w:rStyle w:val="Hyperlink"/>
            <w:rFonts w:ascii="Calibri" w:cs="Calibri" w:eastAsia="Calibri" w:hAnsi="Calibri"/>
            <w:sz w:val="18"/>
            <w:szCs w:val="18"/>
          </w:rPr>
          <w:t xml:space="preserve">https://www.pbsc.edu/about/district-board-of-trustees/policies/section-6/6.09.php</w:t>
        </w:r>
      </w:hyperlink>
    </w:p>
    <w:p>
      <w:pPr>
        <w:pStyle w:val="ListParagraph"/>
        <w:numPr>
          <w:ilvl w:val="0"/>
          <w:numId w:val="5"/>
        </w:numPr>
        <w:spacing w:after="40"/>
      </w:pPr>
      <w:r>
        <w:rPr>
          <w:rFonts w:ascii="Calibri" w:cs="Calibri" w:eastAsia="Calibri" w:hAnsi="Calibri"/>
          <w:sz w:val="18"/>
          <w:szCs w:val="18"/>
        </w:rPr>
        <w:t xml:space="preserve">GLBA Safeguards Rule for higher ed (Moss Adams) — </w:t>
      </w:r>
      <w:hyperlink w:history="1" r:id="rIdgaue5wxcqtnvq6xaekqun">
        <w:r>
          <w:rPr>
            <w:rStyle w:val="Hyperlink"/>
            <w:rFonts w:ascii="Calibri" w:cs="Calibri" w:eastAsia="Calibri" w:hAnsi="Calibri"/>
            <w:sz w:val="18"/>
            <w:szCs w:val="18"/>
          </w:rPr>
          <w:t xml:space="preserve">https://www.mossadams.com/articles/2023/02/updates-to-the-glba-safeguards-rule</w:t>
        </w:r>
      </w:hyperlink>
    </w:p>
    <w:p>
      <w:pPr>
        <w:pStyle w:val="ListParagraph"/>
        <w:numPr>
          <w:ilvl w:val="0"/>
          <w:numId w:val="5"/>
        </w:numPr>
        <w:spacing w:after="40"/>
      </w:pPr>
      <w:r>
        <w:rPr>
          <w:rFonts w:ascii="Calibri" w:cs="Calibri" w:eastAsia="Calibri" w:hAnsi="Calibri"/>
          <w:sz w:val="18"/>
          <w:szCs w:val="18"/>
        </w:rPr>
        <w:t xml:space="preserve">ED Electronic Announcement GENERAL-23-09 summary (Faegre Drinker) — </w:t>
      </w:r>
      <w:hyperlink w:history="1" r:id="rIdjemcpmv6jwe9jqvsxkwur">
        <w:r>
          <w:rPr>
            <w:rStyle w:val="Hyperlink"/>
            <w:rFonts w:ascii="Calibri" w:cs="Calibri" w:eastAsia="Calibri" w:hAnsi="Calibri"/>
            <w:sz w:val="18"/>
            <w:szCs w:val="18"/>
          </w:rPr>
          <w:t xml:space="preserve">https://www.faegredrinker.com/en/insights/publications/2023/3/us-department-of-education-announce-updated-data-security-expectation-for-postsecondary-institutions</w:t>
        </w:r>
      </w:hyperlink>
    </w:p>
    <w:p>
      <w:pPr>
        <w:pStyle w:val="ListParagraph"/>
        <w:numPr>
          <w:ilvl w:val="0"/>
          <w:numId w:val="5"/>
        </w:numPr>
        <w:spacing w:after="40"/>
      </w:pPr>
      <w:r>
        <w:rPr>
          <w:rFonts w:ascii="Calibri" w:cs="Calibri" w:eastAsia="Calibri" w:hAnsi="Calibri"/>
          <w:sz w:val="18"/>
          <w:szCs w:val="18"/>
        </w:rPr>
        <w:t xml:space="preserve">FTC Safeguards Rule notification amendment (Thomson Reuters) — </w:t>
      </w:r>
      <w:hyperlink w:history="1" r:id="rIdcu2ekoctstrhgdt5tpo2u">
        <w:r>
          <w:rPr>
            <w:rStyle w:val="Hyperlink"/>
            <w:rFonts w:ascii="Calibri" w:cs="Calibri" w:eastAsia="Calibri" w:hAnsi="Calibri"/>
            <w:sz w:val="18"/>
            <w:szCs w:val="18"/>
          </w:rPr>
          <w:t xml:space="preserve">https://tax.thomsonreuters.com/news/ftc-expands-reporting-regulations-for-non-bank-financial-institutions/</w:t>
        </w:r>
      </w:hyperlink>
    </w:p>
    <w:p>
      <w:pPr>
        <w:pStyle w:val="ListParagraph"/>
        <w:numPr>
          <w:ilvl w:val="0"/>
          <w:numId w:val="5"/>
        </w:numPr>
        <w:spacing w:after="40"/>
      </w:pPr>
      <w:r>
        <w:rPr>
          <w:rFonts w:ascii="Calibri" w:cs="Calibri" w:eastAsia="Calibri" w:hAnsi="Calibri"/>
          <w:sz w:val="18"/>
          <w:szCs w:val="18"/>
        </w:rPr>
        <w:t xml:space="preserve">Michigan MCL 445.72 — </w:t>
      </w:r>
      <w:hyperlink w:history="1" r:id="rId4kofaayuejdc5ues3s59o">
        <w:r>
          <w:rPr>
            <w:rStyle w:val="Hyperlink"/>
            <w:rFonts w:ascii="Calibri" w:cs="Calibri" w:eastAsia="Calibri" w:hAnsi="Calibri"/>
            <w:sz w:val="18"/>
            <w:szCs w:val="18"/>
          </w:rPr>
          <w:t xml:space="preserve">https://ombudsman.legislature.mi.gov/documents/mcl/pdf/MCL-445-72.pdf</w:t>
        </w:r>
      </w:hyperlink>
    </w:p>
    <w:p>
      <w:pPr>
        <w:pStyle w:val="ListParagraph"/>
        <w:numPr>
          <w:ilvl w:val="0"/>
          <w:numId w:val="5"/>
        </w:numPr>
        <w:spacing w:after="40"/>
      </w:pPr>
      <w:r>
        <w:rPr>
          <w:rFonts w:ascii="Calibri" w:cs="Calibri" w:eastAsia="Calibri" w:hAnsi="Calibri"/>
          <w:sz w:val="18"/>
          <w:szCs w:val="18"/>
        </w:rPr>
        <w:t xml:space="preserve">Federal Register: Extension of ADA Title II web compliance dates (Apr. 20, 2026) — </w:t>
      </w:r>
      <w:hyperlink w:history="1" r:id="rIdbddygxjm4dlol90ohlqsx">
        <w:r>
          <w:rPr>
            <w:rStyle w:val="Hyperlink"/>
            <w:rFonts w:ascii="Calibri" w:cs="Calibri" w:eastAsia="Calibri" w:hAnsi="Calibri"/>
            <w:sz w:val="18"/>
            <w:szCs w:val="18"/>
          </w:rPr>
          <w:t xml:space="preserve">https://www.federalregister.gov/documents/2026/04/20/2026-07663/extension-of-compliance-dates-for-nondiscrimination-on-the-basis-of-disability-accessibility-of-web</w:t>
        </w:r>
      </w:hyperlink>
    </w:p>
    <w:p>
      <w:pPr>
        <w:pStyle w:val="ListParagraph"/>
        <w:numPr>
          <w:ilvl w:val="0"/>
          <w:numId w:val="5"/>
        </w:numPr>
        <w:spacing w:after="40"/>
      </w:pPr>
      <w:r>
        <w:rPr>
          <w:rFonts w:ascii="Calibri" w:cs="Calibri" w:eastAsia="Calibri" w:hAnsi="Calibri"/>
          <w:sz w:val="18"/>
          <w:szCs w:val="18"/>
        </w:rPr>
        <w:t xml:space="preserve">Breach notification for colleges and universities (ZwillGen) — </w:t>
      </w:r>
      <w:hyperlink w:history="1" r:id="rIdf5p4lmq8daglrxnhyzq4e">
        <w:r>
          <w:rPr>
            <w:rStyle w:val="Hyperlink"/>
            <w:rFonts w:ascii="Calibri" w:cs="Calibri" w:eastAsia="Calibri" w:hAnsi="Calibri"/>
            <w:sz w:val="18"/>
            <w:szCs w:val="18"/>
          </w:rPr>
          <w:t xml:space="preserve">https://www.zwillgen.com/data-security/breach-notification-colleges-universities/</w:t>
        </w:r>
      </w:hyperlink>
    </w:p>
    <w:p>
      <w:pPr>
        <w:pStyle w:val="ListParagraph"/>
        <w:numPr>
          <w:ilvl w:val="0"/>
          <w:numId w:val="5"/>
        </w:numPr>
        <w:spacing w:after="40"/>
      </w:pPr>
      <w:r>
        <w:rPr>
          <w:rFonts w:ascii="Calibri" w:cs="Calibri" w:eastAsia="Calibri" w:hAnsi="Calibri"/>
          <w:sz w:val="18"/>
          <w:szCs w:val="18"/>
        </w:rPr>
        <w:t xml:space="preserve">CIS Controls v8.1 AUP template — </w:t>
      </w:r>
      <w:hyperlink w:history="1" r:id="rIds944anz-cu6t8oef9l2fu">
        <w:r>
          <w:rPr>
            <w:rStyle w:val="Hyperlink"/>
            <w:rFonts w:ascii="Calibri" w:cs="Calibri" w:eastAsia="Calibri" w:hAnsi="Calibri"/>
            <w:sz w:val="18"/>
            <w:szCs w:val="18"/>
          </w:rPr>
          <w:t xml:space="preserve">https://www.cisecurity.org/insights/white-papers/controls-v8-1-acceptable-use-policy-template</w:t>
        </w:r>
      </w:hyperlink>
    </w:p>
    <w:p>
      <w:pPr>
        <w:pStyle w:val="ListParagraph"/>
        <w:numPr>
          <w:ilvl w:val="0"/>
          <w:numId w:val="5"/>
        </w:numPr>
        <w:spacing w:after="40"/>
      </w:pPr>
      <w:r>
        <w:rPr>
          <w:rFonts w:ascii="Calibri" w:cs="Calibri" w:eastAsia="Calibri" w:hAnsi="Calibri"/>
          <w:sz w:val="18"/>
          <w:szCs w:val="18"/>
        </w:rPr>
        <w:t xml:space="preserve">NIST CSF 2.0 Govern function overview (Inside Privacy) — </w:t>
      </w:r>
      <w:hyperlink w:history="1" r:id="rIdxmgljw0ydrnp7dhtrkdvy">
        <w:r>
          <w:rPr>
            <w:rStyle w:val="Hyperlink"/>
            <w:rFonts w:ascii="Calibri" w:cs="Calibri" w:eastAsia="Calibri" w:hAnsi="Calibri"/>
            <w:sz w:val="18"/>
            <w:szCs w:val="18"/>
          </w:rPr>
          <w:t xml:space="preserve">https://www.insideprivacy.com/cybersecurity-2/nist-publishes-the-cybersecurity-framework-2-0/</w:t>
        </w:r>
      </w:hyperlink>
    </w:p>
    <w:p>
      <w:pPr>
        <w:pStyle w:val="ListParagraph"/>
        <w:numPr>
          <w:ilvl w:val="0"/>
          <w:numId w:val="5"/>
        </w:numPr>
        <w:spacing w:after="40"/>
      </w:pPr>
      <w:r>
        <w:rPr>
          <w:rFonts w:ascii="Calibri" w:cs="Calibri" w:eastAsia="Calibri" w:hAnsi="Calibri"/>
          <w:sz w:val="18"/>
          <w:szCs w:val="18"/>
        </w:rPr>
        <w:t xml:space="preserve">EDUCAUSE HECVAT — </w:t>
      </w:r>
      <w:hyperlink w:history="1" r:id="rIddo4o8uwhlx58x4a6dzlxc">
        <w:r>
          <w:rPr>
            <w:rStyle w:val="Hyperlink"/>
            <w:rFonts w:ascii="Calibri" w:cs="Calibri" w:eastAsia="Calibri" w:hAnsi="Calibri"/>
            <w:sz w:val="18"/>
            <w:szCs w:val="18"/>
          </w:rPr>
          <w:t xml:space="preserve">https://www.educause.edu/hecvat</w:t>
        </w:r>
      </w:hyperlink>
    </w:p>
    <w:p>
      <w:pPr>
        <w:pStyle w:val="ListParagraph"/>
        <w:numPr>
          <w:ilvl w:val="0"/>
          <w:numId w:val="5"/>
        </w:numPr>
        <w:spacing w:after="40"/>
      </w:pPr>
      <w:r>
        <w:rPr>
          <w:rFonts w:ascii="Calibri" w:cs="Calibri" w:eastAsia="Calibri" w:hAnsi="Calibri"/>
          <w:sz w:val="18"/>
          <w:szCs w:val="18"/>
        </w:rPr>
        <w:t xml:space="preserve">EDUCAUSE campus policy library — </w:t>
      </w:r>
      <w:hyperlink w:history="1" r:id="rId9qntlkrbjcohk2baagyam">
        <w:r>
          <w:rPr>
            <w:rStyle w:val="Hyperlink"/>
            <w:rFonts w:ascii="Calibri" w:cs="Calibri" w:eastAsia="Calibri" w:hAnsi="Calibri"/>
            <w:sz w:val="18"/>
            <w:szCs w:val="18"/>
          </w:rPr>
          <w:t xml:space="preserve">https://library.educause.edu/topics/policy-and-law/campus-policy</w:t>
        </w:r>
      </w:hyperlink>
    </w:p>
    <w:p>
      <w:pPr>
        <w:pStyle w:val="ListParagraph"/>
        <w:numPr>
          <w:ilvl w:val="0"/>
          <w:numId w:val="5"/>
        </w:numPr>
        <w:spacing w:after="40"/>
      </w:pPr>
      <w:r>
        <w:rPr>
          <w:rFonts w:ascii="Calibri" w:cs="Calibri" w:eastAsia="Calibri" w:hAnsi="Calibri"/>
          <w:sz w:val="18"/>
          <w:szCs w:val="18"/>
        </w:rPr>
        <w:t xml:space="preserve">University of Windsor conditional access (BYOD example) — </w:t>
      </w:r>
      <w:hyperlink w:history="1" r:id="rIdkhrrl3aei2zoi4fojkvni">
        <w:r>
          <w:rPr>
            <w:rStyle w:val="Hyperlink"/>
            <w:rFonts w:ascii="Calibri" w:cs="Calibri" w:eastAsia="Calibri" w:hAnsi="Calibri"/>
            <w:sz w:val="18"/>
            <w:szCs w:val="18"/>
          </w:rPr>
          <w:t xml:space="preserve">https://uwindsor.teamdynamix.com/TDClient/1975/Portal/KB/Article/151334/Conditional-Access-All-in-One</w:t>
        </w:r>
      </w:hyperlink>
    </w:p>
    <w:sectPr>
      <w:footerReference w:type="default" r:id="rId10"/>
      <w:pgSz w:w="12240" w:h="15840" w:orient="portrait"/>
      <w:pgMar w:top="1260" w:right="1440" w:bottom="126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WCCCD District IT  |  AUP Framework — Draft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WCCCD District IT  |  AUP Framework — Draft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WCCCD District IT  |  AUP Framework — Draft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WCCCD District IT  |  AUP Framework — Draft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WCCCD District IT  |  AUP Framework — Draft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theme" Target="theme/theme1.xml"/><Relationship Id="rId6aj1ymezdzdo-3bnvl_vq" Type="http://schemas.openxmlformats.org/officeDocument/2006/relationships/hyperlink" Target="https://www.wcccd.edu/divisions/information-technology/acceptable-use-policy" TargetMode="External"/><Relationship Id="rIdk3gp2_xqvge6sf7ohcp8v" Type="http://schemas.openxmlformats.org/officeDocument/2006/relationships/hyperlink" Target="https://www.wcccd.edu/divisions/information-technology/mobile-device-acceptable-use-policy" TargetMode="External"/><Relationship Id="rIdvn0fhk3vcxsax42dwucs1" Type="http://schemas.openxmlformats.org/officeDocument/2006/relationships/hyperlink" Target="https://cdn.maricopa.edu/documents/board-policies/10-1.pdf" TargetMode="External"/><Relationship Id="rIdjjkzzaedqq5vdtd6f9eqm" Type="http://schemas.openxmlformats.org/officeDocument/2006/relationships/hyperlink" Target="https://www.macomb.edu/about-macomb/college-policies/administrative/acceptable.html" TargetMode="External"/><Relationship Id="rIdzjby91sv63mthu0u8pnrp" Type="http://schemas.openxmlformats.org/officeDocument/2006/relationships/hyperlink" Target="https://www.oaklandcc.edu/taur" TargetMode="External"/><Relationship Id="rId8ttka9rv6pc65hm1prtxv" Type="http://schemas.openxmlformats.org/officeDocument/2006/relationships/hyperlink" Target="https://policies.hfcc.edu/policy/computer-systems-acceptable" TargetMode="External"/><Relationship Id="rIdkbt_3cxfd7d8kh8r9nxfd" Type="http://schemas.openxmlformats.org/officeDocument/2006/relationships/hyperlink" Target="https://employees.delta.edu/board-approved-policies/8.020.html" TargetMode="External"/><Relationship Id="rIdanxm8z4rti0j8mmhvzppb" Type="http://schemas.openxmlformats.org/officeDocument/2006/relationships/hyperlink" Target="https://www.monroecc.edu/webdbs/studtrib.nsf/100983649e11a018852588470053e91d/7F1BC9632E37665885258A5F00534112/$file/7.1%20MCC%20Acceptable%20Use%20of%20College%20Technology%20Policy%20(Revised%20Draft).pdf" TargetMode="External"/><Relationship Id="rIdt0ixsbqlfytjdn_wcshmw" Type="http://schemas.openxmlformats.org/officeDocument/2006/relationships/hyperlink" Target="https://chemeketa.edu/media/content-assets/documents/pdf/about/board-of-education/board-policies/chapter-3/BP-3730----Generative-Artificial-Intelligency-Administrative-Policy.pdf" TargetMode="External"/><Relationship Id="rIdrkygqbiuykezrupczwzib" Type="http://schemas.openxmlformats.org/officeDocument/2006/relationships/hyperlink" Target="https://www.pbsc.edu/about/district-board-of-trustees/policies/section-6/6.09.php" TargetMode="External"/><Relationship Id="rIdgaue5wxcqtnvq6xaekqun" Type="http://schemas.openxmlformats.org/officeDocument/2006/relationships/hyperlink" Target="https://www.mossadams.com/articles/2023/02/updates-to-the-glba-safeguards-rule" TargetMode="External"/><Relationship Id="rIdjemcpmv6jwe9jqvsxkwur" Type="http://schemas.openxmlformats.org/officeDocument/2006/relationships/hyperlink" Target="https://www.faegredrinker.com/en/insights/publications/2023/3/us-department-of-education-announce-updated-data-security-expectation-for-postsecondary-institutions" TargetMode="External"/><Relationship Id="rIdcu2ekoctstrhgdt5tpo2u" Type="http://schemas.openxmlformats.org/officeDocument/2006/relationships/hyperlink" Target="https://tax.thomsonreuters.com/news/ftc-expands-reporting-regulations-for-non-bank-financial-institutions/" TargetMode="External"/><Relationship Id="rId4kofaayuejdc5ues3s59o" Type="http://schemas.openxmlformats.org/officeDocument/2006/relationships/hyperlink" Target="https://ombudsman.legislature.mi.gov/documents/mcl/pdf/MCL-445-72.pdf" TargetMode="External"/><Relationship Id="rIdbddygxjm4dlol90ohlqsx" Type="http://schemas.openxmlformats.org/officeDocument/2006/relationships/hyperlink" Target="https://www.federalregister.gov/documents/2026/04/20/2026-07663/extension-of-compliance-dates-for-nondiscrimination-on-the-basis-of-disability-accessibility-of-web" TargetMode="External"/><Relationship Id="rIdf5p4lmq8daglrxnhyzq4e" Type="http://schemas.openxmlformats.org/officeDocument/2006/relationships/hyperlink" Target="https://www.zwillgen.com/data-security/breach-notification-colleges-universities/" TargetMode="External"/><Relationship Id="rIds944anz-cu6t8oef9l2fu" Type="http://schemas.openxmlformats.org/officeDocument/2006/relationships/hyperlink" Target="https://www.cisecurity.org/insights/white-papers/controls-v8-1-acceptable-use-policy-template" TargetMode="External"/><Relationship Id="rIdxmgljw0ydrnp7dhtrkdvy" Type="http://schemas.openxmlformats.org/officeDocument/2006/relationships/hyperlink" Target="https://www.insideprivacy.com/cybersecurity-2/nist-publishes-the-cybersecurity-framework-2-0/" TargetMode="External"/><Relationship Id="rIddo4o8uwhlx58x4a6dzlxc" Type="http://schemas.openxmlformats.org/officeDocument/2006/relationships/hyperlink" Target="https://www.educause.edu/hecvat" TargetMode="External"/><Relationship Id="rId9qntlkrbjcohk2baagyam" Type="http://schemas.openxmlformats.org/officeDocument/2006/relationships/hyperlink" Target="https://library.educause.edu/topics/policy-and-law/campus-policy" TargetMode="External"/><Relationship Id="rIdkhrrl3aei2zoi4fojkvni" Type="http://schemas.openxmlformats.org/officeDocument/2006/relationships/hyperlink" Target="https://uwindsor.teamdynamix.com/TDClient/1975/Portal/KB/Article/151334/Conditional-Access-All-in-One"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Acceptable Use Policy Framework — Proposed Approach</dc:title>
  <dc:creator>Eric, WCCCD District IT</dc:creator>
  <cp:lastModifiedBy>Un-named</cp:lastModifiedBy>
  <cp:revision>1</cp:revision>
  <dcterms:created xsi:type="dcterms:W3CDTF">2026-10-21T07:20:23.440Z</dcterms:created>
  <dcterms:modified xsi:type="dcterms:W3CDTF">2026-10-21T07:20:23.440Z</dcterms:modified>
</cp:coreProperties>
</file>

<file path=docProps/custom.xml><?xml version="1.0" encoding="utf-8"?>
<Properties xmlns="http://schemas.openxmlformats.org/officeDocument/2006/custom-properties" xmlns:vt="http://schemas.openxmlformats.org/officeDocument/2006/docPropsVTypes"/>
</file>