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3B8"/>
          <w:spacing w:val="30"/>
          <w:sz w:val="17"/>
          <w:szCs w:val="17"/>
        </w:rPr>
        <w:t xml:space="preserve">WCCCD DISTRICT INFORMATION TECHNOLOGY</w:t>
      </w:r>
    </w:p>
    <w:p>
      <w:pPr>
        <w:pStyle w:val="Title"/>
      </w:pPr>
      <w:r>
        <w:t xml:space="preserve">Enterprise Forms and Workflow Plan</w:t>
      </w:r>
    </w:p>
    <w:p>
      <w:pPr>
        <w:spacing w:after="200"/>
      </w:pPr>
      <w:r>
        <w:rPr>
          <w:color w:val="5B6573"/>
          <w:sz w:val="26"/>
          <w:szCs w:val="26"/>
        </w:rPr>
        <w:t xml:space="preserve">Internal forms, secure external submissions, and request tracking</w:t>
      </w:r>
    </w:p>
    <w:p>
      <w:pPr>
        <w:pBdr>
          <w:top w:val="single" w:color="C9D3E3" w:sz="6" w:space="8"/>
          <w:bottom w:val="single" w:color="C9D3E3" w:sz="6" w:space="8"/>
        </w:pBdr>
        <w:spacing w:after="240"/>
      </w:pPr>
      <w:r>
        <w:rPr>
          <w:b/>
          <w:bCs/>
          <w:color w:val="0B2A5B"/>
          <w:sz w:val="19"/>
          <w:szCs w:val="19"/>
        </w:rPr>
        <w:t xml:space="preserve">Prepared for: </w:t>
      </w:r>
      <w:r>
        <w:rPr>
          <w:sz w:val="19"/>
          <w:szCs w:val="19"/>
        </w:rPr>
        <w:t xml:space="preserve">Yoseph Demissie, Chief Information Officer</w:t>
      </w:r>
      <w:r>
        <w:rPr>
          <w:b/>
          <w:bCs/>
          <w:color w:val="0B2A5B"/>
          <w:sz w:val="19"/>
          <w:szCs w:val="19"/>
        </w:rPr>
        <w:t xml:space="preserve">     Prepared by: </w:t>
      </w:r>
      <w:r>
        <w:rPr>
          <w:sz w:val="19"/>
          <w:szCs w:val="19"/>
        </w:rPr>
        <w:t xml:space="preserve">Eric Crutchfield</w:t>
      </w:r>
      <w:r>
        <w:rPr>
          <w:b/>
          <w:bCs/>
          <w:color w:val="0B2A5B"/>
          <w:sz w:val="19"/>
          <w:szCs w:val="19"/>
        </w:rPr>
        <w:t xml:space="preserve">     Date: </w:t>
      </w:r>
      <w:r>
        <w:rPr>
          <w:sz w:val="19"/>
          <w:szCs w:val="19"/>
        </w:rPr>
        <w:t xml:space="preserve">October 27, 2026</w:t>
      </w:r>
      <w:r>
        <w:rPr>
          <w:b/>
          <w:bCs/>
          <w:color w:val="0B2A5B"/>
          <w:sz w:val="19"/>
          <w:szCs w:val="19"/>
        </w:rPr>
        <w:t xml:space="preserve">     Status: </w:t>
      </w:r>
      <w:r>
        <w:rPr>
          <w:sz w:val="19"/>
          <w:szCs w:val="19"/>
        </w:rPr>
        <w:t xml:space="preserve">Proposed approach for discussion</w:t>
      </w:r>
    </w:p>
    <w:p>
      <w:pPr>
        <w:pStyle w:val="Heading1"/>
      </w:pPr>
      <w:r>
        <w:t xml:space="preserve">Purpose and direction</w:t>
      </w:r>
    </w:p>
    <w:p>
      <w:r>
        <w:t xml:space="preserve">Establish a reusable enterprise framework for internal forms, secure external file submissions, and request tracking, using SharePoint as the proposed foundation with supporting Microsoft 365 tools. Begin with IT as the pilot, then extend the framework to Human Resources, Institutional Effectiveness, Academic Affairs, and other departments.</w:t>
      </w:r>
    </w:p>
    <w:p>
      <w:r>
        <w:t xml:space="preserve">This plan sets direction only. Detailed requirements, costs, responsibilities, and schedules will be developed during planning.</w:t>
      </w:r>
    </w:p>
    <w:tbl>
      <w:tblPr>
        <w:tblW w:type="dxa" w:w="9360"/>
        <w:tblBorders>
          <w:top w:val="none" w:color="FFFFFF" w:sz="0"/>
          <w:left w:val="single" w:color="1F63B8"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EF3FA" w:color="auto" w:val="clear"/>
            <w:tcMar>
              <w:top w:type="dxa" w:w="140"/>
              <w:left w:type="dxa" w:w="220"/>
              <w:bottom w:type="dxa" w:w="100"/>
              <w:right w:type="dxa" w:w="200"/>
            </w:tcMar>
          </w:tcPr>
          <w:p>
            <w:pPr>
              <w:keepNext/>
              <w:spacing w:after="40"/>
            </w:pPr>
            <w:r>
              <w:rPr>
                <w:b/>
                <w:bCs/>
                <w:color w:val="1F63B8"/>
                <w:spacing w:val="20"/>
                <w:sz w:val="17"/>
                <w:szCs w:val="17"/>
              </w:rPr>
              <w:t xml:space="preserve">HOW TO READ THIS PLAN</w:t>
            </w:r>
          </w:p>
          <w:p>
            <w:pPr>
              <w:spacing w:after="40"/>
            </w:pPr>
            <w:r>
              <w:rPr>
                <w:b/>
                <w:bCs/>
              </w:rPr>
              <w:t xml:space="preserve">Required</w:t>
            </w:r>
            <w:r>
              <w:t xml:space="preserve"> items are agreed outcomes and controls the solution must meet. </w:t>
            </w:r>
            <w:r>
              <w:rPr>
                <w:b/>
                <w:bCs/>
              </w:rPr>
              <w:t xml:space="preserve">Proposed</w:t>
            </w:r>
            <w:r>
              <w:t xml:space="preserve"> items are tools and configurations to be selected during detailed design and validated through the pilots. Nothing in this plan commits to a product, license, budget, or date.</w:t>
            </w:r>
          </w:p>
        </w:tc>
      </w:tr>
    </w:tbl>
    <w:p>
      <w:pPr>
        <w:pStyle w:val="Heading1"/>
      </w:pPr>
      <w:r>
        <w:t xml:space="preserve">Requirements</w:t>
      </w:r>
    </w:p>
    <w:tbl>
      <w:tblPr>
        <w:tblW w:type="dxa" w:w="9360"/>
        <w:tblBorders>
          <w:top w:val="none" w:color="FFFFFF" w:sz="0"/>
          <w:left w:val="single" w:color="0B2A5B"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6F8FB" w:color="auto" w:val="clear"/>
            <w:tcMar>
              <w:top w:type="dxa" w:w="140"/>
              <w:left w:type="dxa" w:w="220"/>
              <w:bottom w:type="dxa" w:w="100"/>
              <w:right w:type="dxa" w:w="200"/>
            </w:tcMar>
          </w:tcPr>
          <w:p>
            <w:pPr>
              <w:keepNext/>
              <w:spacing w:after="80"/>
            </w:pPr>
            <w:r>
              <w:rPr>
                <w:b/>
                <w:bCs/>
                <w:color w:val="1F63B8"/>
                <w:spacing w:val="20"/>
                <w:sz w:val="17"/>
                <w:szCs w:val="17"/>
              </w:rPr>
              <w:t xml:space="preserve">REQUIREMENT 1</w:t>
            </w:r>
          </w:p>
          <w:p>
            <w:pPr>
              <w:keepNext/>
              <w:spacing w:after="100"/>
            </w:pPr>
            <w:r>
              <w:rPr>
                <w:b/>
                <w:bCs/>
                <w:color w:val="0B2A5B"/>
                <w:sz w:val="26"/>
                <w:szCs w:val="26"/>
              </w:rPr>
              <w:t xml:space="preserve">Internal forms portal</w:t>
            </w:r>
          </w:p>
          <w:p>
            <w:r>
              <w:t xml:space="preserve">Create a central SharePoint entry point where employees can find, access, complete, and submit departmental forms. Begin by inventorying IT’s existing shared folder of fillable PDFs and organizing approved forms by department and purpose.</w:t>
            </w:r>
          </w:p>
          <w:p>
            <w:r>
              <w:t xml:space="preserve">Retain PDFs where appropriate and identify opportunities for online forms that support routing and structured tracking. Confirm how each form will be completed and submitted before migration.</w:t>
            </w:r>
          </w:p>
          <w:p>
            <w:pPr>
              <w:keepNext/>
              <w:spacing w:after="40"/>
            </w:pPr>
            <w:r>
              <w:rPr>
                <w:b/>
                <w:bCs/>
                <w:color w:val="0B2A5B"/>
                <w:spacing w:val="20"/>
                <w:sz w:val="17"/>
                <w:szCs w:val="17"/>
              </w:rPr>
              <w:t xml:space="preserve">EXPECTED RESULT</w:t>
            </w:r>
          </w:p>
          <w:p>
            <w:pPr>
              <w:pStyle w:val="ListParagraph"/>
              <w:numPr>
                <w:ilvl w:val="0"/>
                <w:numId w:val="2"/>
              </w:numPr>
              <w:spacing w:after="60"/>
            </w:pPr>
            <w:r>
              <w:t xml:space="preserve">A consistent employee experience.</w:t>
            </w:r>
          </w:p>
          <w:p>
            <w:pPr>
              <w:pStyle w:val="ListParagraph"/>
              <w:numPr>
                <w:ilvl w:val="0"/>
                <w:numId w:val="2"/>
              </w:numPr>
              <w:spacing w:after="60"/>
            </w:pPr>
            <w:r>
              <w:t xml:space="preserve">A departmental structure that can expand without rebuilding the solution.</w:t>
            </w:r>
          </w:p>
        </w:tc>
      </w:tr>
    </w:tbl>
    <w:p>
      <w:pPr>
        <w:spacing w:after="160" w:line="120" w:lineRule="auto"/>
      </w:pPr>
    </w:p>
    <w:tbl>
      <w:tblPr>
        <w:tblW w:type="dxa" w:w="9360"/>
        <w:tblBorders>
          <w:top w:val="none" w:color="FFFFFF" w:sz="0"/>
          <w:left w:val="single" w:color="0B2A5B"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6F8FB" w:color="auto" w:val="clear"/>
            <w:tcMar>
              <w:top w:type="dxa" w:w="140"/>
              <w:left w:type="dxa" w:w="220"/>
              <w:bottom w:type="dxa" w:w="100"/>
              <w:right w:type="dxa" w:w="200"/>
            </w:tcMar>
          </w:tcPr>
          <w:p>
            <w:pPr>
              <w:keepNext/>
              <w:spacing w:after="80"/>
            </w:pPr>
            <w:r>
              <w:rPr>
                <w:b/>
                <w:bCs/>
                <w:color w:val="1F63B8"/>
                <w:spacing w:val="20"/>
                <w:sz w:val="17"/>
                <w:szCs w:val="17"/>
              </w:rPr>
              <w:t xml:space="preserve">REQUIREMENT 2</w:t>
            </w:r>
          </w:p>
          <w:p>
            <w:pPr>
              <w:keepNext/>
              <w:spacing w:after="100"/>
            </w:pPr>
            <w:r>
              <w:rPr>
                <w:b/>
                <w:bCs/>
                <w:color w:val="0B2A5B"/>
                <w:sz w:val="26"/>
                <w:szCs w:val="26"/>
              </w:rPr>
              <w:t xml:space="preserve">Secure external submissions</w:t>
            </w:r>
          </w:p>
          <w:p>
            <w:r>
              <w:t xml:space="preserve">Develop a controlled process for receiving documents, images, videos, and other files from vendors and external parties. Distinguish general secure file collection from controlled RFP submissions. Both require confidential handling and access limited to authorized staff; RFPs require additional controls.</w:t>
            </w:r>
          </w:p>
          <w:p>
            <w:pPr>
              <w:keepNext/>
              <w:spacing w:after="40"/>
            </w:pPr>
            <w:r>
              <w:rPr>
                <w:b/>
                <w:bCs/>
                <w:color w:val="0B2A5B"/>
                <w:spacing w:val="20"/>
                <w:sz w:val="17"/>
                <w:szCs w:val="17"/>
              </w:rPr>
              <w:t xml:space="preserve">REQUIRED RFP CONTROLS</w:t>
            </w:r>
          </w:p>
          <w:p>
            <w:pPr>
              <w:pStyle w:val="ListParagraph"/>
              <w:numPr>
                <w:ilvl w:val="0"/>
                <w:numId w:val="2"/>
              </w:numPr>
              <w:spacing w:after="60"/>
            </w:pPr>
            <w:r>
              <w:t xml:space="preserve">Verified vendor identity.</w:t>
            </w:r>
          </w:p>
          <w:p>
            <w:pPr>
              <w:pStyle w:val="ListParagraph"/>
              <w:numPr>
                <w:ilvl w:val="0"/>
                <w:numId w:val="2"/>
              </w:numPr>
              <w:spacing w:after="60"/>
            </w:pPr>
            <w:r>
              <w:t xml:space="preserve">Enforced submission deadlines.</w:t>
            </w:r>
          </w:p>
          <w:p>
            <w:pPr>
              <w:pStyle w:val="ListParagraph"/>
              <w:numPr>
                <w:ilvl w:val="0"/>
                <w:numId w:val="2"/>
              </w:numPr>
              <w:spacing w:after="60"/>
            </w:pPr>
            <w:r>
              <w:t xml:space="preserve">Timestamped receipts confirming successful submission.</w:t>
            </w:r>
          </w:p>
          <w:p>
            <w:pPr>
              <w:pStyle w:val="ListParagraph"/>
              <w:numPr>
                <w:ilvl w:val="0"/>
                <w:numId w:val="2"/>
              </w:numPr>
              <w:spacing w:after="60"/>
            </w:pPr>
            <w:r>
              <w:t xml:space="preserve">Restricted access to bid contents until the authorized opening.</w:t>
            </w:r>
          </w:p>
          <w:p>
            <w:pPr>
              <w:pStyle w:val="ListParagraph"/>
              <w:numPr>
                <w:ilvl w:val="0"/>
                <w:numId w:val="2"/>
              </w:numPr>
              <w:spacing w:after="60"/>
            </w:pPr>
            <w:r>
              <w:t xml:space="preserve">Vendors cannot view other submissions.</w:t>
            </w:r>
          </w:p>
          <w:p>
            <w:pPr>
              <w:spacing w:after="40" w:before="80"/>
            </w:pPr>
            <w:r>
              <w:rPr>
                <w:i/>
                <w:iCs/>
                <w:color w:val="5B6573"/>
              </w:rPr>
              <w:t xml:space="preserve">A basic upload link alone does not meet these requirements. General file collection may use a simpler process where appropriate.</w:t>
            </w:r>
          </w:p>
        </w:tc>
      </w:tr>
    </w:tbl>
    <w:p>
      <w:pPr>
        <w:spacing w:after="160" w:line="120" w:lineRule="auto"/>
      </w:pPr>
    </w:p>
    <w:tbl>
      <w:tblPr>
        <w:tblW w:type="dxa" w:w="9360"/>
        <w:tblBorders>
          <w:top w:val="none" w:color="FFFFFF" w:sz="0"/>
          <w:left w:val="single" w:color="0B2A5B"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6F8FB" w:color="auto" w:val="clear"/>
            <w:tcMar>
              <w:top w:type="dxa" w:w="140"/>
              <w:left w:type="dxa" w:w="220"/>
              <w:bottom w:type="dxa" w:w="100"/>
              <w:right w:type="dxa" w:w="200"/>
            </w:tcMar>
          </w:tcPr>
          <w:p>
            <w:pPr>
              <w:keepNext/>
              <w:spacing w:after="80"/>
            </w:pPr>
            <w:r>
              <w:rPr>
                <w:b/>
                <w:bCs/>
                <w:color w:val="1F63B8"/>
                <w:spacing w:val="20"/>
                <w:sz w:val="17"/>
                <w:szCs w:val="17"/>
              </w:rPr>
              <w:t xml:space="preserve">REQUIREMENT 3</w:t>
            </w:r>
          </w:p>
          <w:p>
            <w:pPr>
              <w:keepNext/>
              <w:spacing w:after="100"/>
            </w:pPr>
            <w:r>
              <w:rPr>
                <w:b/>
                <w:bCs/>
                <w:color w:val="0B2A5B"/>
                <w:sz w:val="26"/>
                <w:szCs w:val="26"/>
              </w:rPr>
              <w:t xml:space="preserve">Request lifecycle and auditability</w:t>
            </w:r>
          </w:p>
          <w:p>
            <w:r>
              <w:t xml:space="preserve">Capture the full history of a request, from submission through review, approval or denial, fulfillment, and closure. Initial examples include acceptable use policy acknowledgments or related approvals, and onboarding requests.</w:t>
            </w:r>
          </w:p>
          <w:p>
            <w:r>
              <w:t xml:space="preserve">Record supporting documents, responsible staff, decision details, dates, and actions taken so each request can be traced and reviewed.</w:t>
            </w:r>
          </w:p>
          <w:p>
            <w:pPr>
              <w:keepNext/>
              <w:spacing w:after="40"/>
            </w:pPr>
            <w:r>
              <w:rPr>
                <w:b/>
                <w:bCs/>
                <w:color w:val="0B2A5B"/>
                <w:spacing w:val="20"/>
                <w:sz w:val="17"/>
                <w:szCs w:val="17"/>
              </w:rPr>
              <w:t xml:space="preserve">EXPECTED RESULT</w:t>
            </w:r>
          </w:p>
          <w:p>
            <w:pPr>
              <w:pStyle w:val="ListParagraph"/>
              <w:numPr>
                <w:ilvl w:val="0"/>
                <w:numId w:val="2"/>
              </w:numPr>
              <w:spacing w:after="60"/>
            </w:pPr>
            <w:r>
              <w:t xml:space="preserve">A durable business record that supports status reporting, accountability, and audits.</w:t>
            </w:r>
          </w:p>
        </w:tc>
      </w:tr>
    </w:tbl>
    <w:p>
      <w:pPr>
        <w:spacing w:after="160" w:line="120" w:lineRule="auto"/>
      </w:pPr>
    </w:p>
    <w:p>
      <w:pPr>
        <w:pStyle w:val="Heading1"/>
      </w:pPr>
      <w:r>
        <w:t xml:space="preserve">Implementation approach</w:t>
      </w:r>
    </w:p>
    <w:p>
      <w:r>
        <w:t xml:space="preserve">The work proceeds in four phases. Durations and resourcing will be set in the detailed implementation plan.</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500"/>
        <w:gridCol w:w="6860"/>
      </w:tblGrid>
      <w:tr>
        <w:trPr>
          <w:cantSplit/>
          <w:tblHeader/>
        </w:trPr>
        <w:tc>
          <w:tcPr>
            <w:tcW w:type="dxa" w:w="2500"/>
            <w:shd w:fill="0B2A5B" w:color="auto" w:val="clear"/>
            <w:tcMar>
              <w:top w:type="dxa" w:w="90"/>
              <w:left w:type="dxa" w:w="120"/>
              <w:bottom w:type="dxa" w:w="90"/>
              <w:right w:type="dxa" w:w="120"/>
            </w:tcMar>
            <w:vAlign w:val="top"/>
          </w:tcPr>
          <w:p>
            <w:pPr>
              <w:spacing w:after="0"/>
            </w:pPr>
            <w:r>
              <w:rPr>
                <w:b/>
                <w:bCs/>
                <w:color w:val="FFFFFF"/>
                <w:sz w:val="19"/>
                <w:szCs w:val="19"/>
              </w:rPr>
              <w:t xml:space="preserve">Phase</w:t>
            </w:r>
          </w:p>
        </w:tc>
        <w:tc>
          <w:tcPr>
            <w:tcW w:type="dxa" w:w="6860"/>
            <w:shd w:fill="0B2A5B" w:color="auto" w:val="clear"/>
            <w:tcMar>
              <w:top w:type="dxa" w:w="90"/>
              <w:left w:type="dxa" w:w="120"/>
              <w:bottom w:type="dxa" w:w="90"/>
              <w:right w:type="dxa" w:w="120"/>
            </w:tcMar>
            <w:vAlign w:val="top"/>
          </w:tcPr>
          <w:p>
            <w:pPr>
              <w:spacing w:after="0"/>
            </w:pPr>
            <w:r>
              <w:rPr>
                <w:b/>
                <w:bCs/>
                <w:color w:val="FFFFFF"/>
                <w:sz w:val="19"/>
                <w:szCs w:val="19"/>
              </w:rPr>
              <w:t xml:space="preserve">Key activities</w:t>
            </w:r>
          </w:p>
        </w:tc>
      </w:tr>
      <w:tr>
        <w:trPr>
          <w:cantSplit/>
        </w:trPr>
        <w:tc>
          <w:tcPr>
            <w:tcW w:type="dxa" w:w="2500"/>
            <w:shd w:fill="EEF3FA" w:color="auto" w:val="clear"/>
            <w:tcMar>
              <w:top w:type="dxa" w:w="90"/>
              <w:left w:type="dxa" w:w="120"/>
              <w:bottom w:type="dxa" w:w="90"/>
              <w:right w:type="dxa" w:w="120"/>
            </w:tcMar>
            <w:vAlign w:val="top"/>
          </w:tcPr>
          <w:p>
            <w:pPr>
              <w:spacing w:after="20"/>
            </w:pPr>
            <w:r>
              <w:rPr>
                <w:b/>
                <w:bCs/>
                <w:color w:val="1F63B8"/>
                <w:spacing w:val="20"/>
                <w:sz w:val="16"/>
                <w:szCs w:val="16"/>
              </w:rPr>
              <w:t xml:space="preserve">PHASE 1</w:t>
            </w:r>
          </w:p>
          <w:p>
            <w:pPr>
              <w:spacing w:after="0"/>
            </w:pPr>
            <w:r>
              <w:rPr>
                <w:b/>
                <w:bCs/>
                <w:color w:val="0B2A5B"/>
                <w:sz w:val="20"/>
                <w:szCs w:val="20"/>
              </w:rPr>
              <w:t xml:space="preserve">Confirm requirements and standards</w:t>
            </w:r>
          </w:p>
        </w:tc>
        <w:tc>
          <w:tcPr>
            <w:tcW w:type="dxa" w:w="6860"/>
            <w:tcMar>
              <w:top w:type="dxa" w:w="90"/>
              <w:left w:type="dxa" w:w="120"/>
              <w:bottom w:type="dxa" w:w="90"/>
              <w:right w:type="dxa" w:w="120"/>
            </w:tcMar>
            <w:vAlign w:val="top"/>
          </w:tcPr>
          <w:p>
            <w:pPr>
              <w:pStyle w:val="ListParagraph"/>
              <w:numPr>
                <w:ilvl w:val="0"/>
                <w:numId w:val="2"/>
              </w:numPr>
              <w:spacing w:after="30"/>
            </w:pPr>
            <w:r>
              <w:rPr>
                <w:sz w:val="20"/>
                <w:szCs w:val="20"/>
              </w:rPr>
              <w:t xml:space="preserve">Confirm priority use cases with Yoseph and departmental owners.</w:t>
            </w:r>
          </w:p>
          <w:p>
            <w:pPr>
              <w:pStyle w:val="ListParagraph"/>
              <w:numPr>
                <w:ilvl w:val="0"/>
                <w:numId w:val="2"/>
              </w:numPr>
              <w:spacing w:after="30"/>
            </w:pPr>
            <w:r>
              <w:rPr>
                <w:sz w:val="20"/>
                <w:szCs w:val="20"/>
              </w:rPr>
              <w:t xml:space="preserve">Inventory IT forms and select one representative request workflow.</w:t>
            </w:r>
          </w:p>
          <w:p>
            <w:pPr>
              <w:pStyle w:val="ListParagraph"/>
              <w:numPr>
                <w:ilvl w:val="0"/>
                <w:numId w:val="2"/>
              </w:numPr>
              <w:spacing w:after="30"/>
            </w:pPr>
            <w:r>
              <w:rPr>
                <w:sz w:val="20"/>
                <w:szCs w:val="20"/>
              </w:rPr>
              <w:t xml:space="preserve">Set common standards for organization, naming, accessibility, ownership, permissions, retention, and reporting.</w:t>
            </w:r>
          </w:p>
          <w:p>
            <w:pPr>
              <w:pStyle w:val="ListParagraph"/>
              <w:numPr>
                <w:ilvl w:val="0"/>
                <w:numId w:val="2"/>
              </w:numPr>
              <w:spacing w:after="30"/>
            </w:pPr>
            <w:r>
              <w:rPr>
                <w:sz w:val="20"/>
                <w:szCs w:val="20"/>
              </w:rPr>
              <w:t xml:space="preserve">Review Microsoft 365 licensing and external sharing settings.</w:t>
            </w:r>
          </w:p>
        </w:tc>
      </w:tr>
      <w:tr>
        <w:trPr>
          <w:cantSplit/>
        </w:trPr>
        <w:tc>
          <w:tcPr>
            <w:tcW w:type="dxa" w:w="2500"/>
            <w:shd w:fill="EEF3FA" w:color="auto" w:val="clear"/>
            <w:tcMar>
              <w:top w:type="dxa" w:w="90"/>
              <w:left w:type="dxa" w:w="120"/>
              <w:bottom w:type="dxa" w:w="90"/>
              <w:right w:type="dxa" w:w="120"/>
            </w:tcMar>
            <w:vAlign w:val="top"/>
          </w:tcPr>
          <w:p>
            <w:pPr>
              <w:spacing w:after="20"/>
            </w:pPr>
            <w:r>
              <w:rPr>
                <w:b/>
                <w:bCs/>
                <w:color w:val="1F63B8"/>
                <w:spacing w:val="20"/>
                <w:sz w:val="16"/>
                <w:szCs w:val="16"/>
              </w:rPr>
              <w:t xml:space="preserve">PHASE 2</w:t>
            </w:r>
          </w:p>
          <w:p>
            <w:pPr>
              <w:spacing w:after="0"/>
            </w:pPr>
            <w:r>
              <w:rPr>
                <w:b/>
                <w:bCs/>
                <w:color w:val="0B2A5B"/>
                <w:sz w:val="20"/>
                <w:szCs w:val="20"/>
              </w:rPr>
              <w:t xml:space="preserve">Build and evaluate the IT pilot</w:t>
            </w:r>
          </w:p>
        </w:tc>
        <w:tc>
          <w:tcPr>
            <w:tcW w:type="dxa" w:w="6860"/>
            <w:shd w:fill="F6F8FB" w:color="auto" w:val="clear"/>
            <w:tcMar>
              <w:top w:type="dxa" w:w="90"/>
              <w:left w:type="dxa" w:w="120"/>
              <w:bottom w:type="dxa" w:w="90"/>
              <w:right w:type="dxa" w:w="120"/>
            </w:tcMar>
            <w:vAlign w:val="top"/>
          </w:tcPr>
          <w:p>
            <w:pPr>
              <w:pStyle w:val="ListParagraph"/>
              <w:numPr>
                <w:ilvl w:val="0"/>
                <w:numId w:val="2"/>
              </w:numPr>
              <w:spacing w:after="30"/>
            </w:pPr>
            <w:r>
              <w:rPr>
                <w:sz w:val="20"/>
                <w:szCs w:val="20"/>
              </w:rPr>
              <w:t xml:space="preserve">Create the enterprise structure and the IT forms area.</w:t>
            </w:r>
          </w:p>
          <w:p>
            <w:pPr>
              <w:pStyle w:val="ListParagraph"/>
              <w:numPr>
                <w:ilvl w:val="0"/>
                <w:numId w:val="2"/>
              </w:numPr>
              <w:spacing w:after="30"/>
            </w:pPr>
            <w:r>
              <w:rPr>
                <w:sz w:val="20"/>
                <w:szCs w:val="20"/>
              </w:rPr>
              <w:t xml:space="preserve">Migrate the initial approved forms.</w:t>
            </w:r>
          </w:p>
          <w:p>
            <w:pPr>
              <w:pStyle w:val="ListParagraph"/>
              <w:numPr>
                <w:ilvl w:val="0"/>
                <w:numId w:val="2"/>
              </w:numPr>
              <w:spacing w:after="30"/>
            </w:pPr>
            <w:r>
              <w:rPr>
                <w:sz w:val="20"/>
                <w:szCs w:val="20"/>
              </w:rPr>
              <w:t xml:space="preserve">Implement one request process with routing, decision capture, status tracking, and closure.</w:t>
            </w:r>
          </w:p>
          <w:p>
            <w:pPr>
              <w:pStyle w:val="ListParagraph"/>
              <w:numPr>
                <w:ilvl w:val="0"/>
                <w:numId w:val="2"/>
              </w:numPr>
              <w:spacing w:after="30"/>
            </w:pPr>
            <w:r>
              <w:rPr>
                <w:sz w:val="20"/>
                <w:szCs w:val="20"/>
              </w:rPr>
              <w:t xml:space="preserve">Test with a small employee group and refine before broader use.</w:t>
            </w:r>
          </w:p>
        </w:tc>
      </w:tr>
      <w:tr>
        <w:trPr>
          <w:cantSplit/>
        </w:trPr>
        <w:tc>
          <w:tcPr>
            <w:tcW w:type="dxa" w:w="2500"/>
            <w:shd w:fill="EEF3FA" w:color="auto" w:val="clear"/>
            <w:tcMar>
              <w:top w:type="dxa" w:w="90"/>
              <w:left w:type="dxa" w:w="120"/>
              <w:bottom w:type="dxa" w:w="90"/>
              <w:right w:type="dxa" w:w="120"/>
            </w:tcMar>
            <w:vAlign w:val="top"/>
          </w:tcPr>
          <w:p>
            <w:pPr>
              <w:spacing w:after="20"/>
            </w:pPr>
            <w:r>
              <w:rPr>
                <w:b/>
                <w:bCs/>
                <w:color w:val="1F63B8"/>
                <w:spacing w:val="20"/>
                <w:sz w:val="16"/>
                <w:szCs w:val="16"/>
              </w:rPr>
              <w:t xml:space="preserve">PHASE 3</w:t>
            </w:r>
          </w:p>
          <w:p>
            <w:pPr>
              <w:spacing w:after="0"/>
            </w:pPr>
            <w:r>
              <w:rPr>
                <w:b/>
                <w:bCs/>
                <w:color w:val="0B2A5B"/>
                <w:sz w:val="20"/>
                <w:szCs w:val="20"/>
              </w:rPr>
              <w:t xml:space="preserve">Validate external intake</w:t>
            </w:r>
          </w:p>
        </w:tc>
        <w:tc>
          <w:tcPr>
            <w:tcW w:type="dxa" w:w="6860"/>
            <w:tcMar>
              <w:top w:type="dxa" w:w="90"/>
              <w:left w:type="dxa" w:w="120"/>
              <w:bottom w:type="dxa" w:w="90"/>
              <w:right w:type="dxa" w:w="120"/>
            </w:tcMar>
            <w:vAlign w:val="top"/>
          </w:tcPr>
          <w:p>
            <w:pPr>
              <w:pStyle w:val="ListParagraph"/>
              <w:numPr>
                <w:ilvl w:val="0"/>
                <w:numId w:val="2"/>
              </w:numPr>
              <w:spacing w:after="30"/>
            </w:pPr>
            <w:r>
              <w:rPr>
                <w:sz w:val="20"/>
                <w:szCs w:val="20"/>
              </w:rPr>
              <w:t xml:space="preserve">Pilot general secure file collection and a controlled RFP scenario with the responsible department.</w:t>
            </w:r>
          </w:p>
          <w:p>
            <w:pPr>
              <w:pStyle w:val="ListParagraph"/>
              <w:numPr>
                <w:ilvl w:val="0"/>
                <w:numId w:val="2"/>
              </w:numPr>
              <w:spacing w:after="30"/>
            </w:pPr>
            <w:r>
              <w:rPr>
                <w:sz w:val="20"/>
                <w:szCs w:val="20"/>
              </w:rPr>
              <w:t xml:space="preserve">Test vendor verification, deadline enforcement and late-submission handling, timestamped receipts, and attempts to access bids before opening or to view another vendor’s files.</w:t>
            </w:r>
          </w:p>
          <w:p>
            <w:pPr>
              <w:pStyle w:val="ListParagraph"/>
              <w:numPr>
                <w:ilvl w:val="0"/>
                <w:numId w:val="2"/>
              </w:numPr>
              <w:spacing w:after="30"/>
            </w:pPr>
            <w:r>
              <w:rPr>
                <w:sz w:val="20"/>
                <w:szCs w:val="20"/>
              </w:rPr>
              <w:t xml:space="preserve">Confirm file limits, purchasing requirements, and authorized opening procedures.</w:t>
            </w:r>
          </w:p>
          <w:p>
            <w:pPr>
              <w:pStyle w:val="ListParagraph"/>
              <w:numPr>
                <w:ilvl w:val="0"/>
                <w:numId w:val="2"/>
              </w:numPr>
              <w:spacing w:after="30"/>
            </w:pPr>
            <w:r>
              <w:rPr>
                <w:sz w:val="20"/>
                <w:szCs w:val="20"/>
              </w:rPr>
              <w:t xml:space="preserve">Resolve control gaps before any live solicitation.</w:t>
            </w:r>
          </w:p>
        </w:tc>
      </w:tr>
      <w:tr>
        <w:trPr>
          <w:cantSplit/>
        </w:trPr>
        <w:tc>
          <w:tcPr>
            <w:tcW w:type="dxa" w:w="2500"/>
            <w:shd w:fill="EEF3FA" w:color="auto" w:val="clear"/>
            <w:tcMar>
              <w:top w:type="dxa" w:w="90"/>
              <w:left w:type="dxa" w:w="120"/>
              <w:bottom w:type="dxa" w:w="90"/>
              <w:right w:type="dxa" w:w="120"/>
            </w:tcMar>
            <w:vAlign w:val="top"/>
          </w:tcPr>
          <w:p>
            <w:pPr>
              <w:spacing w:after="20"/>
            </w:pPr>
            <w:r>
              <w:rPr>
                <w:b/>
                <w:bCs/>
                <w:color w:val="1F63B8"/>
                <w:spacing w:val="20"/>
                <w:sz w:val="16"/>
                <w:szCs w:val="16"/>
              </w:rPr>
              <w:t xml:space="preserve">PHASE 4</w:t>
            </w:r>
          </w:p>
          <w:p>
            <w:pPr>
              <w:spacing w:after="0"/>
            </w:pPr>
            <w:r>
              <w:rPr>
                <w:b/>
                <w:bCs/>
                <w:color w:val="0B2A5B"/>
                <w:sz w:val="20"/>
                <w:szCs w:val="20"/>
              </w:rPr>
              <w:t xml:space="preserve">Expand by department</w:t>
            </w:r>
          </w:p>
        </w:tc>
        <w:tc>
          <w:tcPr>
            <w:tcW w:type="dxa" w:w="6860"/>
            <w:shd w:fill="F6F8FB" w:color="auto" w:val="clear"/>
            <w:tcMar>
              <w:top w:type="dxa" w:w="90"/>
              <w:left w:type="dxa" w:w="120"/>
              <w:bottom w:type="dxa" w:w="90"/>
              <w:right w:type="dxa" w:w="120"/>
            </w:tcMar>
            <w:vAlign w:val="top"/>
          </w:tcPr>
          <w:p>
            <w:pPr>
              <w:pStyle w:val="ListParagraph"/>
              <w:numPr>
                <w:ilvl w:val="0"/>
                <w:numId w:val="2"/>
              </w:numPr>
              <w:spacing w:after="30"/>
            </w:pPr>
            <w:r>
              <w:rPr>
                <w:sz w:val="20"/>
                <w:szCs w:val="20"/>
              </w:rPr>
              <w:t xml:space="preserve">Apply the tested framework to HR and other departments based on business priorities.</w:t>
            </w:r>
          </w:p>
          <w:p>
            <w:pPr>
              <w:pStyle w:val="ListParagraph"/>
              <w:numPr>
                <w:ilvl w:val="0"/>
                <w:numId w:val="2"/>
              </w:numPr>
              <w:spacing w:after="30"/>
            </w:pPr>
            <w:r>
              <w:rPr>
                <w:sz w:val="20"/>
                <w:szCs w:val="20"/>
              </w:rPr>
              <w:t xml:space="preserve">Assign departmental content and process owners and provide brief training.</w:t>
            </w:r>
          </w:p>
          <w:p>
            <w:pPr>
              <w:pStyle w:val="ListParagraph"/>
              <w:numPr>
                <w:ilvl w:val="0"/>
                <w:numId w:val="2"/>
              </w:numPr>
              <w:spacing w:after="30"/>
            </w:pPr>
            <w:r>
              <w:rPr>
                <w:sz w:val="20"/>
                <w:szCs w:val="20"/>
              </w:rPr>
              <w:t xml:space="preserve">Establish ongoing support and review procedures.</w:t>
            </w:r>
          </w:p>
        </w:tc>
      </w:tr>
    </w:tbl>
    <w:p>
      <w:pPr>
        <w:pStyle w:val="Heading1"/>
      </w:pPr>
      <w:r>
        <w:t xml:space="preserve">Supporting tools and platform</w:t>
      </w:r>
    </w:p>
    <w:p>
      <w:r>
        <w:t xml:space="preserve">The components below are </w:t>
      </w:r>
      <w:r>
        <w:rPr>
          <w:b/>
          <w:bCs/>
        </w:rPr>
        <w:t xml:space="preserve">proposed</w:t>
      </w:r>
      <w:r>
        <w:t xml:space="preserve"> roles across internal forms, external submissions, and request tracking. Final products, licensing, and configuration will be selected during design and validated through the pilots.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1900"/>
        <w:gridCol w:w="3830"/>
        <w:gridCol w:w="3630"/>
      </w:tblGrid>
      <w:tr>
        <w:trPr>
          <w:cantSplit/>
          <w:tblHeader/>
        </w:trPr>
        <w:tc>
          <w:tcPr>
            <w:tcW w:type="dxa" w:w="1900"/>
            <w:shd w:fill="0B2A5B" w:color="auto" w:val="clear"/>
            <w:tcMar>
              <w:top w:type="dxa" w:w="90"/>
              <w:left w:type="dxa" w:w="120"/>
              <w:bottom w:type="dxa" w:w="90"/>
              <w:right w:type="dxa" w:w="120"/>
            </w:tcMar>
            <w:vAlign w:val="top"/>
          </w:tcPr>
          <w:p>
            <w:pPr>
              <w:spacing w:after="0"/>
            </w:pPr>
            <w:r>
              <w:rPr>
                <w:b/>
                <w:bCs/>
                <w:color w:val="FFFFFF"/>
                <w:sz w:val="19"/>
                <w:szCs w:val="19"/>
              </w:rPr>
              <w:t xml:space="preserve">Component</w:t>
            </w:r>
          </w:p>
        </w:tc>
        <w:tc>
          <w:tcPr>
            <w:tcW w:type="dxa" w:w="3830"/>
            <w:shd w:fill="0B2A5B" w:color="auto" w:val="clear"/>
            <w:tcMar>
              <w:top w:type="dxa" w:w="90"/>
              <w:left w:type="dxa" w:w="120"/>
              <w:bottom w:type="dxa" w:w="90"/>
              <w:right w:type="dxa" w:w="120"/>
            </w:tcMar>
            <w:vAlign w:val="top"/>
          </w:tcPr>
          <w:p>
            <w:pPr>
              <w:spacing w:after="0"/>
            </w:pPr>
            <w:r>
              <w:rPr>
                <w:b/>
                <w:bCs/>
                <w:color w:val="FFFFFF"/>
                <w:sz w:val="19"/>
                <w:szCs w:val="19"/>
              </w:rPr>
              <w:t xml:space="preserve">Proposed role</w:t>
            </w:r>
          </w:p>
        </w:tc>
        <w:tc>
          <w:tcPr>
            <w:tcW w:type="dxa" w:w="3630"/>
            <w:shd w:fill="0B2A5B" w:color="auto" w:val="clear"/>
            <w:tcMar>
              <w:top w:type="dxa" w:w="90"/>
              <w:left w:type="dxa" w:w="120"/>
              <w:bottom w:type="dxa" w:w="90"/>
              <w:right w:type="dxa" w:w="120"/>
            </w:tcMar>
            <w:vAlign w:val="top"/>
          </w:tcPr>
          <w:p>
            <w:pPr>
              <w:spacing w:after="0"/>
            </w:pPr>
            <w:r>
              <w:rPr>
                <w:b/>
                <w:bCs/>
                <w:color w:val="FFFFFF"/>
                <w:sz w:val="19"/>
                <w:szCs w:val="19"/>
              </w:rPr>
              <w:t xml:space="preserve">To validate</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SharePoint</w:t>
            </w:r>
          </w:p>
        </w:tc>
        <w:tc>
          <w:tcPr>
            <w:tcW w:type="dxa" w:w="3830"/>
            <w:tcMar>
              <w:top w:type="dxa" w:w="90"/>
              <w:left w:type="dxa" w:w="120"/>
              <w:bottom w:type="dxa" w:w="90"/>
              <w:right w:type="dxa" w:w="120"/>
            </w:tcMar>
            <w:vAlign w:val="top"/>
          </w:tcPr>
          <w:p>
            <w:pPr>
              <w:spacing w:after="0"/>
            </w:pPr>
            <w:r>
              <w:rPr>
                <w:b w:val="false"/>
                <w:bCs w:val="false"/>
                <w:sz w:val="20"/>
                <w:szCs w:val="20"/>
              </w:rPr>
              <w:t xml:space="preserve">Departmental portal, document libraries, controlled file storage, and structured request and submission records in SharePoint Lists. External intake kept separate from internal working areas.</w:t>
            </w:r>
          </w:p>
        </w:tc>
        <w:tc>
          <w:tcPr>
            <w:tcW w:type="dxa" w:w="3630"/>
            <w:tcMar>
              <w:top w:type="dxa" w:w="90"/>
              <w:left w:type="dxa" w:w="120"/>
              <w:bottom w:type="dxa" w:w="90"/>
              <w:right w:type="dxa" w:w="120"/>
            </w:tcMar>
            <w:vAlign w:val="top"/>
          </w:tcPr>
          <w:p>
            <w:pPr>
              <w:spacing w:after="0"/>
            </w:pPr>
            <w:r>
              <w:rPr>
                <w:b w:val="false"/>
                <w:bCs w:val="false"/>
                <w:sz w:val="20"/>
                <w:szCs w:val="20"/>
              </w:rPr>
              <w:t xml:space="preserve">Site structure, permissions model, and separation of external intake.</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Power Automate</w:t>
            </w:r>
          </w:p>
        </w:tc>
        <w:tc>
          <w:tcPr>
            <w:tcW w:type="dxa" w:w="3830"/>
            <w:shd w:fill="F6F8FB" w:color="auto" w:val="clear"/>
            <w:tcMar>
              <w:top w:type="dxa" w:w="90"/>
              <w:left w:type="dxa" w:w="120"/>
              <w:bottom w:type="dxa" w:w="90"/>
              <w:right w:type="dxa" w:w="120"/>
            </w:tcMar>
            <w:vAlign w:val="top"/>
          </w:tcPr>
          <w:p>
            <w:pPr>
              <w:spacing w:after="0"/>
            </w:pPr>
            <w:r>
              <w:rPr>
                <w:b w:val="false"/>
                <w:bCs w:val="false"/>
                <w:sz w:val="20"/>
                <w:szCs w:val="20"/>
              </w:rPr>
              <w:t xml:space="preserve">Routing, notifications, submission receipts, approvals, and recording of process events.</w:t>
            </w:r>
          </w:p>
        </w:tc>
        <w:tc>
          <w:tcPr>
            <w:tcW w:type="dxa" w:w="3630"/>
            <w:shd w:fill="F6F8FB" w:color="auto" w:val="clear"/>
            <w:tcMar>
              <w:top w:type="dxa" w:w="90"/>
              <w:left w:type="dxa" w:w="120"/>
              <w:bottom w:type="dxa" w:w="90"/>
              <w:right w:type="dxa" w:w="120"/>
            </w:tcMar>
            <w:vAlign w:val="top"/>
          </w:tcPr>
          <w:p>
            <w:pPr>
              <w:spacing w:after="0"/>
            </w:pPr>
            <w:r>
              <w:rPr>
                <w:b w:val="false"/>
                <w:bCs w:val="false"/>
                <w:sz w:val="20"/>
                <w:szCs w:val="20"/>
              </w:rPr>
              <w:t xml:space="preserve">Its role in deadline and opening procedures; enforcement across every submission and access path.</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Forms and application interfaces</w:t>
            </w:r>
          </w:p>
        </w:tc>
        <w:tc>
          <w:tcPr>
            <w:tcW w:type="dxa" w:w="3830"/>
            <w:tcMar>
              <w:top w:type="dxa" w:w="90"/>
              <w:left w:type="dxa" w:w="120"/>
              <w:bottom w:type="dxa" w:w="90"/>
              <w:right w:type="dxa" w:w="120"/>
            </w:tcMar>
            <w:vAlign w:val="top"/>
          </w:tcPr>
          <w:p>
            <w:pPr>
              <w:spacing w:after="0"/>
            </w:pPr>
            <w:r>
              <w:rPr>
                <w:b w:val="false"/>
                <w:bCs w:val="false"/>
                <w:sz w:val="20"/>
                <w:szCs w:val="20"/>
              </w:rPr>
              <w:t xml:space="preserve">Structured data entry and guided submissions: Microsoft Forms or Power Apps for suitable internal processes; an authenticated external interface such as Power Pages where vendor requirements warrant it.</w:t>
            </w:r>
          </w:p>
        </w:tc>
        <w:tc>
          <w:tcPr>
            <w:tcW w:type="dxa" w:w="3630"/>
            <w:tcMar>
              <w:top w:type="dxa" w:w="90"/>
              <w:left w:type="dxa" w:w="120"/>
              <w:bottom w:type="dxa" w:w="90"/>
              <w:right w:type="dxa" w:w="120"/>
            </w:tcMar>
            <w:vAlign w:val="top"/>
          </w:tcPr>
          <w:p>
            <w:pPr>
              <w:spacing w:after="0"/>
            </w:pPr>
            <w:r>
              <w:rPr>
                <w:b w:val="false"/>
                <w:bCs w:val="false"/>
                <w:sz w:val="20"/>
                <w:szCs w:val="20"/>
              </w:rPr>
              <w:t xml:space="preserve">External file upload support and licensing.</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Identity and access controls</w:t>
            </w:r>
          </w:p>
        </w:tc>
        <w:tc>
          <w:tcPr>
            <w:tcW w:type="dxa" w:w="3830"/>
            <w:shd w:fill="F6F8FB" w:color="auto" w:val="clear"/>
            <w:tcMar>
              <w:top w:type="dxa" w:w="90"/>
              <w:left w:type="dxa" w:w="120"/>
              <w:bottom w:type="dxa" w:w="90"/>
              <w:right w:type="dxa" w:w="120"/>
            </w:tcMar>
            <w:vAlign w:val="top"/>
          </w:tcPr>
          <w:p>
            <w:pPr>
              <w:spacing w:after="0"/>
            </w:pPr>
            <w:r>
              <w:rPr>
                <w:b w:val="false"/>
                <w:bCs w:val="false"/>
                <w:sz w:val="20"/>
                <w:szCs w:val="20"/>
              </w:rPr>
              <w:t xml:space="preserve">Microsoft Entra external identity capabilities and application permissions to verify vendors and limit access.</w:t>
            </w:r>
          </w:p>
        </w:tc>
        <w:tc>
          <w:tcPr>
            <w:tcW w:type="dxa" w:w="3630"/>
            <w:shd w:fill="F6F8FB" w:color="auto" w:val="clear"/>
            <w:tcMar>
              <w:top w:type="dxa" w:w="90"/>
              <w:left w:type="dxa" w:w="120"/>
              <w:bottom w:type="dxa" w:w="90"/>
              <w:right w:type="dxa" w:w="120"/>
            </w:tcMar>
            <w:vAlign w:val="top"/>
          </w:tcPr>
          <w:p>
            <w:pPr>
              <w:spacing w:after="0"/>
            </w:pPr>
            <w:r>
              <w:rPr>
                <w:b w:val="false"/>
                <w:bCs w:val="false"/>
                <w:sz w:val="20"/>
                <w:szCs w:val="20"/>
              </w:rPr>
              <w:t xml:space="preserve">That bid contents stay inaccessible to reviewers until the authorized opening, with privileged access governed and audited.</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Audit and retention</w:t>
            </w:r>
          </w:p>
        </w:tc>
        <w:tc>
          <w:tcPr>
            <w:tcW w:type="dxa" w:w="3830"/>
            <w:tcMar>
              <w:top w:type="dxa" w:w="90"/>
              <w:left w:type="dxa" w:w="120"/>
              <w:bottom w:type="dxa" w:w="90"/>
              <w:right w:type="dxa" w:w="120"/>
            </w:tcMar>
            <w:vAlign w:val="top"/>
          </w:tcPr>
          <w:p>
            <w:pPr>
              <w:spacing w:after="0"/>
            </w:pPr>
            <w:r>
              <w:rPr>
                <w:b w:val="false"/>
                <w:bCs w:val="false"/>
                <w:sz w:val="20"/>
                <w:szCs w:val="20"/>
              </w:rPr>
              <w:t xml:space="preserve">Microsoft Purview and platform logging and retention to preserve records and activity history.</w:t>
            </w:r>
          </w:p>
        </w:tc>
        <w:tc>
          <w:tcPr>
            <w:tcW w:type="dxa" w:w="3630"/>
            <w:tcMar>
              <w:top w:type="dxa" w:w="90"/>
              <w:left w:type="dxa" w:w="120"/>
              <w:bottom w:type="dxa" w:w="90"/>
              <w:right w:type="dxa" w:w="120"/>
            </w:tcMar>
            <w:vAlign w:val="top"/>
          </w:tcPr>
          <w:p>
            <w:pPr>
              <w:spacing w:after="0"/>
            </w:pPr>
            <w:r>
              <w:rPr>
                <w:b w:val="false"/>
                <w:bCs w:val="false"/>
                <w:sz w:val="20"/>
                <w:szCs w:val="20"/>
              </w:rPr>
              <w:t xml:space="preserve">That decisions, timestamps, receipts, and opening events are stored as durable records with retention aligned to institutional requirements.</w:t>
            </w:r>
          </w:p>
        </w:tc>
      </w:tr>
    </w:tbl>
    <w:p>
      <w:pPr>
        <w:spacing w:after="200" w:line="120" w:lineRule="auto"/>
      </w:pPr>
    </w:p>
    <w:tbl>
      <w:tblPr>
        <w:tblW w:type="dxa" w:w="9360"/>
        <w:tblBorders>
          <w:top w:val="none" w:color="FFFFFF" w:sz="0"/>
          <w:left w:val="single" w:color="C08A00"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FF6E0" w:color="auto" w:val="clear"/>
            <w:tcMar>
              <w:top w:type="dxa" w:w="140"/>
              <w:left w:type="dxa" w:w="220"/>
              <w:bottom w:type="dxa" w:w="100"/>
              <w:right w:type="dxa" w:w="200"/>
            </w:tcMar>
          </w:tcPr>
          <w:p>
            <w:pPr>
              <w:keepNext/>
              <w:spacing w:after="40"/>
            </w:pPr>
            <w:r>
              <w:rPr>
                <w:b/>
                <w:bCs/>
                <w:color w:val="8A5A00"/>
                <w:spacing w:val="20"/>
                <w:sz w:val="17"/>
                <w:szCs w:val="17"/>
              </w:rPr>
              <w:t xml:space="preserve">TECHNICAL VALIDATION</w:t>
            </w:r>
          </w:p>
          <w:p>
            <w:r>
              <w:t xml:space="preserve">SharePoint is the proposed foundation. Do not assume SharePoint and Power Automate alone satisfy the complete RFP process. Validate identity assurance, deadline enforcement, receipt delivery, and protection of bid contents, including from administrators.</w:t>
            </w:r>
          </w:p>
          <w:p>
            <w:pPr>
              <w:spacing w:after="40"/>
            </w:pPr>
            <w:r>
              <w:t xml:space="preserve">If Microsoft 365 components cannot meet the required controls, evaluate a dedicated procurement submission platform and its integration with the enterprise framework.</w:t>
            </w:r>
          </w:p>
        </w:tc>
      </w:tr>
    </w:tbl>
    <w:p>
      <w:pPr>
        <w:pStyle w:val="Heading1"/>
      </w:pPr>
      <w:r>
        <w:t xml:space="preserve">Governance and ownership</w:t>
      </w:r>
    </w:p>
    <w:p>
      <w:pPr>
        <w:pStyle w:val="ListParagraph"/>
        <w:numPr>
          <w:ilvl w:val="0"/>
          <w:numId w:val="2"/>
        </w:numPr>
        <w:spacing w:after="60"/>
      </w:pPr>
      <w:r>
        <w:t xml:space="preserve">Assign departmental content and process owners and technical support responsibilities.</w:t>
      </w:r>
    </w:p>
    <w:p>
      <w:pPr>
        <w:pStyle w:val="ListParagraph"/>
        <w:numPr>
          <w:ilvl w:val="0"/>
          <w:numId w:val="2"/>
        </w:numPr>
        <w:spacing w:after="60"/>
      </w:pPr>
      <w:r>
        <w:t xml:space="preserve">Establish access, retention, and audit requirements before launch.</w:t>
      </w:r>
    </w:p>
    <w:p>
      <w:pPr>
        <w:pStyle w:val="ListParagraph"/>
        <w:numPr>
          <w:ilvl w:val="0"/>
          <w:numId w:val="2"/>
        </w:numPr>
        <w:spacing w:after="60"/>
      </w:pPr>
      <w:r>
        <w:t xml:space="preserve">Preserve decision history in the business record; configure technical audit logging separately.</w:t>
      </w:r>
    </w:p>
    <w:p>
      <w:pPr>
        <w:pStyle w:val="ListParagraph"/>
        <w:numPr>
          <w:ilvl w:val="0"/>
          <w:numId w:val="2"/>
        </w:numPr>
        <w:spacing w:after="60"/>
      </w:pPr>
      <w:r>
        <w:t xml:space="preserve">Confirm licensing, configuration, and operating responsibilities during design.</w:t>
      </w:r>
    </w:p>
    <w:p>
      <w:pPr>
        <w:pStyle w:val="Heading1"/>
      </w:pPr>
      <w:r>
        <w:t xml:space="preserve">Measures of success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600"/>
        <w:gridCol w:w="6760"/>
      </w:tblGrid>
      <w:tr>
        <w:trPr>
          <w:cantSplit/>
          <w:tblHeader/>
        </w:trPr>
        <w:tc>
          <w:tcPr>
            <w:tcW w:type="dxa" w:w="2600"/>
            <w:shd w:fill="0B2A5B" w:color="auto" w:val="clear"/>
            <w:tcMar>
              <w:top w:type="dxa" w:w="90"/>
              <w:left w:type="dxa" w:w="120"/>
              <w:bottom w:type="dxa" w:w="90"/>
              <w:right w:type="dxa" w:w="120"/>
            </w:tcMar>
            <w:vAlign w:val="top"/>
          </w:tcPr>
          <w:p>
            <w:pPr>
              <w:spacing w:after="0"/>
            </w:pPr>
            <w:r>
              <w:rPr>
                <w:b/>
                <w:bCs/>
                <w:color w:val="FFFFFF"/>
                <w:sz w:val="19"/>
                <w:szCs w:val="19"/>
              </w:rPr>
              <w:t xml:space="preserve">Area</w:t>
            </w:r>
          </w:p>
        </w:tc>
        <w:tc>
          <w:tcPr>
            <w:tcW w:type="dxa" w:w="6760"/>
            <w:shd w:fill="0B2A5B" w:color="auto" w:val="clear"/>
            <w:tcMar>
              <w:top w:type="dxa" w:w="90"/>
              <w:left w:type="dxa" w:w="120"/>
              <w:bottom w:type="dxa" w:w="90"/>
              <w:right w:type="dxa" w:w="120"/>
            </w:tcMar>
            <w:vAlign w:val="top"/>
          </w:tcPr>
          <w:p>
            <w:pPr>
              <w:spacing w:after="0"/>
            </w:pPr>
            <w:r>
              <w:rPr>
                <w:b/>
                <w:bCs/>
                <w:color w:val="FFFFFF"/>
                <w:sz w:val="19"/>
                <w:szCs w:val="19"/>
              </w:rPr>
              <w:t xml:space="preserve">Success looks like</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Internal forms</w:t>
            </w:r>
          </w:p>
        </w:tc>
        <w:tc>
          <w:tcPr>
            <w:tcW w:type="dxa" w:w="6760"/>
            <w:tcMar>
              <w:top w:type="dxa" w:w="90"/>
              <w:left w:type="dxa" w:w="120"/>
              <w:bottom w:type="dxa" w:w="90"/>
              <w:right w:type="dxa" w:w="120"/>
            </w:tcMar>
            <w:vAlign w:val="top"/>
          </w:tcPr>
          <w:p>
            <w:pPr>
              <w:spacing w:after="0"/>
            </w:pPr>
            <w:r>
              <w:rPr>
                <w:b w:val="false"/>
                <w:bCs w:val="false"/>
                <w:sz w:val="20"/>
                <w:szCs w:val="20"/>
              </w:rPr>
              <w:t xml:space="preserve">Employees can locate and submit the correct forms.</w:t>
            </w:r>
          </w:p>
        </w:tc>
      </w:tr>
      <w:tr>
        <w:trPr>
          <w:cantSplit/>
        </w:trPr>
        <w:tc>
          <w:tcPr>
            <w:tcW w:type="dxa" w:w="2600"/>
            <w:shd w:fill="F6F8FB" w:color="auto" w:val="clear"/>
            <w:tcMar>
              <w:top w:type="dxa" w:w="90"/>
              <w:left w:type="dxa" w:w="120"/>
              <w:bottom w:type="dxa" w:w="90"/>
              <w:right w:type="dxa" w:w="120"/>
            </w:tcMar>
            <w:vAlign w:val="top"/>
          </w:tcPr>
          <w:p>
            <w:pPr>
              <w:spacing w:after="0"/>
            </w:pPr>
            <w:r>
              <w:rPr>
                <w:b/>
                <w:bCs/>
                <w:sz w:val="20"/>
                <w:szCs w:val="20"/>
              </w:rPr>
              <w:t xml:space="preserve">External submissions</w:t>
            </w:r>
          </w:p>
        </w:tc>
        <w:tc>
          <w:tcPr>
            <w:tcW w:type="dxa" w:w="6760"/>
            <w:shd w:fill="F6F8FB" w:color="auto" w:val="clear"/>
            <w:tcMar>
              <w:top w:type="dxa" w:w="90"/>
              <w:left w:type="dxa" w:w="120"/>
              <w:bottom w:type="dxa" w:w="90"/>
              <w:right w:type="dxa" w:w="120"/>
            </w:tcMar>
            <w:vAlign w:val="top"/>
          </w:tcPr>
          <w:p>
            <w:pPr>
              <w:spacing w:after="0"/>
            </w:pPr>
            <w:r>
              <w:rPr>
                <w:b w:val="false"/>
                <w:bCs w:val="false"/>
                <w:sz w:val="20"/>
                <w:szCs w:val="20"/>
              </w:rPr>
              <w:t xml:space="preserve">External parties can submit files without seeing other submissions.</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RFP pilot</w:t>
            </w:r>
          </w:p>
        </w:tc>
        <w:tc>
          <w:tcPr>
            <w:tcW w:type="dxa" w:w="6760"/>
            <w:tcMar>
              <w:top w:type="dxa" w:w="90"/>
              <w:left w:type="dxa" w:w="120"/>
              <w:bottom w:type="dxa" w:w="90"/>
              <w:right w:type="dxa" w:w="120"/>
            </w:tcMar>
            <w:vAlign w:val="top"/>
          </w:tcPr>
          <w:p>
            <w:pPr>
              <w:spacing w:after="0"/>
            </w:pPr>
            <w:r>
              <w:rPr>
                <w:b w:val="false"/>
                <w:bCs w:val="false"/>
                <w:sz w:val="20"/>
                <w:szCs w:val="20"/>
              </w:rPr>
              <w:t xml:space="preserve">Demonstrates verified identity, enforced deadlines, successful receipt delivery, and restricted bid access until the authorized opening.</w:t>
            </w:r>
          </w:p>
        </w:tc>
      </w:tr>
      <w:tr>
        <w:trPr>
          <w:cantSplit/>
        </w:trPr>
        <w:tc>
          <w:tcPr>
            <w:tcW w:type="dxa" w:w="2600"/>
            <w:shd w:fill="F6F8FB" w:color="auto" w:val="clear"/>
            <w:tcMar>
              <w:top w:type="dxa" w:w="90"/>
              <w:left w:type="dxa" w:w="120"/>
              <w:bottom w:type="dxa" w:w="90"/>
              <w:right w:type="dxa" w:w="120"/>
            </w:tcMar>
            <w:vAlign w:val="top"/>
          </w:tcPr>
          <w:p>
            <w:pPr>
              <w:spacing w:after="0"/>
            </w:pPr>
            <w:r>
              <w:rPr>
                <w:b/>
                <w:bCs/>
                <w:sz w:val="20"/>
                <w:szCs w:val="20"/>
              </w:rPr>
              <w:t xml:space="preserve">Request tracking</w:t>
            </w:r>
          </w:p>
        </w:tc>
        <w:tc>
          <w:tcPr>
            <w:tcW w:type="dxa" w:w="6760"/>
            <w:shd w:fill="F6F8FB" w:color="auto" w:val="clear"/>
            <w:tcMar>
              <w:top w:type="dxa" w:w="90"/>
              <w:left w:type="dxa" w:w="120"/>
              <w:bottom w:type="dxa" w:w="90"/>
              <w:right w:type="dxa" w:w="120"/>
            </w:tcMar>
            <w:vAlign w:val="top"/>
          </w:tcPr>
          <w:p>
            <w:pPr>
              <w:spacing w:after="0"/>
            </w:pPr>
            <w:r>
              <w:rPr>
                <w:b w:val="false"/>
                <w:bCs w:val="false"/>
                <w:sz w:val="20"/>
                <w:szCs w:val="20"/>
              </w:rPr>
              <w:t xml:space="preserve">Each pilot request can be traced through closure.</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Expansion</w:t>
            </w:r>
          </w:p>
        </w:tc>
        <w:tc>
          <w:tcPr>
            <w:tcW w:type="dxa" w:w="6760"/>
            <w:tcMar>
              <w:top w:type="dxa" w:w="90"/>
              <w:left w:type="dxa" w:w="120"/>
              <w:bottom w:type="dxa" w:w="90"/>
              <w:right w:type="dxa" w:w="120"/>
            </w:tcMar>
            <w:vAlign w:val="top"/>
          </w:tcPr>
          <w:p>
            <w:pPr>
              <w:spacing w:after="0"/>
            </w:pPr>
            <w:r>
              <w:rPr>
                <w:b w:val="false"/>
                <w:bCs w:val="false"/>
                <w:sz w:val="20"/>
                <w:szCs w:val="20"/>
              </w:rPr>
              <w:t xml:space="preserve">Departmental owners confirm readiness before their area goes live.</w:t>
            </w:r>
          </w:p>
        </w:tc>
      </w:tr>
    </w:tbl>
    <w:p>
      <w:pPr>
        <w:pStyle w:val="Heading1"/>
      </w:pPr>
      <w:r>
        <w:t xml:space="preserve">Immediate next steps</w:t>
      </w:r>
    </w:p>
    <w:p>
      <w:pPr>
        <w:pStyle w:val="ListParagraph"/>
        <w:numPr>
          <w:ilvl w:val="0"/>
          <w:numId w:val="3"/>
        </w:numPr>
        <w:spacing w:after="60"/>
      </w:pPr>
      <w:r>
        <w:t xml:space="preserve">Confirm this overall direction with Yoseph.</w:t>
      </w:r>
    </w:p>
    <w:p>
      <w:pPr>
        <w:pStyle w:val="ListParagraph"/>
        <w:numPr>
          <w:ilvl w:val="0"/>
          <w:numId w:val="3"/>
        </w:numPr>
        <w:spacing w:after="60"/>
      </w:pPr>
      <w:r>
        <w:t xml:space="preserve">Identify the IT forms and the initial workflow for the pilot.</w:t>
      </w:r>
    </w:p>
    <w:p>
      <w:pPr>
        <w:pStyle w:val="ListParagraph"/>
        <w:numPr>
          <w:ilvl w:val="0"/>
          <w:numId w:val="3"/>
        </w:numPr>
        <w:spacing w:after="60"/>
      </w:pPr>
      <w:r>
        <w:t xml:space="preserve">Designate business owners for the three work areas.</w:t>
      </w:r>
    </w:p>
    <w:p>
      <w:pPr>
        <w:spacing w:before="120"/>
      </w:pPr>
      <w:r>
        <w:t xml:space="preserve">These decisions will shape the detailed implementation plan and schedule.</w:t>
      </w:r>
    </w:p>
    <w:sectPr>
      <w:footerReference w:type="default" r:id="rId6"/>
      <w:pgSz w:w="12240" w:h="15840" w:orient="portrait"/>
      <w:pgMar w:top="1296" w:right="1440" w:bottom="1152" w:left="1440" w:header="708"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9360"/>
      </w:tabs>
    </w:pPr>
    <w:r>
      <w:rPr>
        <w:color w:val="5B6573"/>
        <w:sz w:val="17"/>
        <w:szCs w:val="17"/>
      </w:rPr>
      <w:t xml:space="preserve">Enterprise Forms and Workflow Plan  |  Proposed approach for discussion</w:t>
    </w:r>
    <w:r>
      <w:rPr>
        <w:color w:val="5B6573"/>
        <w:sz w:val="17"/>
        <w:szCs w:val="17"/>
      </w:rPr>
      <w:t xml:space="preserve">	Page </w:t>
    </w:r>
    <w:r>
      <w:rPr>
        <w:color w:val="5B6573"/>
        <w:sz w:val="17"/>
        <w:szCs w:val="17"/>
      </w:rPr>
      <w:fldChar w:fldCharType="begin"/>
      <w:instrText xml:space="preserve">PAGE</w:instrText>
      <w:fldChar w:fldCharType="separate"/>
      <w:fldChar w:fldCharType="end"/>
    </w:r>
    <w:r>
      <w:rPr>
        <w:color w:val="5B6573"/>
        <w:sz w:val="17"/>
        <w:szCs w:val="17"/>
      </w:rPr>
      <w:t xml:space="preserve"> of </w:t>
    </w:r>
    <w:r>
      <w:rPr>
        <w:color w:val="5B65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pPr>
        <w:spacing w:after="110" w:line="252" w:lineRule="auto"/>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0B2A5B"/>
      <w:sz w:val="44"/>
      <w:szCs w:val="44"/>
    </w:rPr>
  </w:style>
  <w:style w:type="paragraph" w:styleId="Heading1">
    <w:name w:val="Heading 1"/>
    <w:basedOn w:val="Normal"/>
    <w:next w:val="Normal"/>
    <w:qFormat/>
    <w:pPr>
      <w:keepNext/>
      <w:keepLines/>
      <w:pBdr>
        <w:bottom w:val="single" w:color="C9D3E3" w:sz="6" w:space="4"/>
      </w:pBdr>
      <w:spacing w:after="120" w:before="320"/>
      <w:outlineLvl w:val="0"/>
    </w:pPr>
    <w:rPr>
      <w:rFonts w:ascii="Calibri" w:cs="Calibri" w:eastAsia="Calibri" w:hAnsi="Calibri"/>
      <w:b/>
      <w:bCs/>
      <w:color w:val="0B2A5B"/>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63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Forms and Workflow Plan</dc:title>
  <dc:creator>Eric Crutchfield</dc:creator>
  <cp:lastModifiedBy>Un-named</cp:lastModifiedBy>
  <cp:revision>1</cp:revision>
  <dcterms:created xsi:type="dcterms:W3CDTF">2026-10-27T08:45:24.540Z</dcterms:created>
  <dcterms:modified xsi:type="dcterms:W3CDTF">2026-10-27T08:45:24.540Z</dcterms:modified>
</cp:coreProperties>
</file>

<file path=docProps/custom.xml><?xml version="1.0" encoding="utf-8"?>
<Properties xmlns="http://schemas.openxmlformats.org/officeDocument/2006/custom-properties" xmlns:vt="http://schemas.openxmlformats.org/officeDocument/2006/docPropsVTypes"/>
</file>