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04232" w14:textId="77777777" w:rsidR="001E4902" w:rsidRDefault="001E4902" w:rsidP="006004B3">
      <w:pPr>
        <w:spacing w:before="240" w:after="240" w:line="360" w:lineRule="auto"/>
        <w:ind w:left="360"/>
        <w:jc w:val="both"/>
        <w:rPr>
          <w:rFonts w:ascii="Times New Roman" w:hAnsi="Times New Roman" w:cs="Times New Roman"/>
        </w:rPr>
      </w:pPr>
      <w:r>
        <w:rPr>
          <w:rFonts w:ascii="Times New Roman" w:hAnsi="Times New Roman" w:cs="Times New Roman"/>
        </w:rPr>
        <w:t>SS006.N27</w:t>
      </w:r>
    </w:p>
    <w:p w14:paraId="7F561424" w14:textId="5DB4FFD9" w:rsidR="001E4902" w:rsidRDefault="001E4902" w:rsidP="006004B3">
      <w:pPr>
        <w:spacing w:before="240" w:after="240" w:line="360" w:lineRule="auto"/>
        <w:ind w:left="360"/>
        <w:jc w:val="both"/>
        <w:rPr>
          <w:rFonts w:ascii="Times New Roman" w:hAnsi="Times New Roman" w:cs="Times New Roman"/>
          <w:lang w:val="vi-VN"/>
        </w:rPr>
      </w:pPr>
      <w:r>
        <w:rPr>
          <w:rFonts w:ascii="Times New Roman" w:hAnsi="Times New Roman" w:cs="Times New Roman"/>
        </w:rPr>
        <w:t xml:space="preserve">20520491 </w:t>
      </w:r>
      <w:r w:rsidR="00624DC3">
        <w:rPr>
          <w:rFonts w:ascii="Times New Roman" w:hAnsi="Times New Roman" w:cs="Times New Roman"/>
        </w:rPr>
        <w:t xml:space="preserve">– Nguyễn </w:t>
      </w:r>
      <w:r>
        <w:rPr>
          <w:rFonts w:ascii="Times New Roman" w:hAnsi="Times New Roman" w:cs="Times New Roman"/>
        </w:rPr>
        <w:t>Duy Hào</w:t>
      </w:r>
      <w:r w:rsidR="00175B2B">
        <w:rPr>
          <w:rFonts w:ascii="Times New Roman" w:hAnsi="Times New Roman" w:cs="Times New Roman"/>
          <w:lang w:val="vi-VN"/>
        </w:rPr>
        <w:t xml:space="preserve"> </w:t>
      </w:r>
    </w:p>
    <w:p w14:paraId="1E84230D" w14:textId="0F7B115F" w:rsidR="00F55634" w:rsidRPr="00D622D7" w:rsidRDefault="00A82381" w:rsidP="006004B3">
      <w:pPr>
        <w:spacing w:before="240" w:after="240" w:line="360" w:lineRule="auto"/>
        <w:ind w:left="360"/>
        <w:jc w:val="both"/>
        <w:rPr>
          <w:rFonts w:ascii="Times New Roman" w:hAnsi="Times New Roman" w:cs="Times New Roman"/>
          <w:lang w:val="vi-VN"/>
        </w:rPr>
      </w:pPr>
      <w:r w:rsidRPr="00D622D7">
        <w:rPr>
          <w:rFonts w:ascii="Times New Roman" w:hAnsi="Times New Roman" w:cs="Times New Roman"/>
          <w:lang w:val="vi-VN"/>
        </w:rPr>
        <w:t xml:space="preserve">Xác định các thành phần giả định/quy </w:t>
      </w:r>
      <w:r w:rsidR="006004B3">
        <w:rPr>
          <w:rFonts w:ascii="Times New Roman" w:hAnsi="Times New Roman" w:cs="Times New Roman"/>
        </w:rPr>
        <w:t>định</w:t>
      </w:r>
      <w:r w:rsidRPr="00D622D7">
        <w:rPr>
          <w:rFonts w:ascii="Times New Roman" w:hAnsi="Times New Roman" w:cs="Times New Roman"/>
          <w:lang w:val="vi-VN"/>
        </w:rPr>
        <w:t>/chế tài của các quy phạm pháp luật:</w:t>
      </w:r>
    </w:p>
    <w:p w14:paraId="7865E1B8" w14:textId="69955C18" w:rsidR="006004B3" w:rsidRDefault="00A82381" w:rsidP="006004B3">
      <w:pPr>
        <w:pStyle w:val="ListParagraph"/>
        <w:numPr>
          <w:ilvl w:val="0"/>
          <w:numId w:val="1"/>
        </w:numPr>
        <w:spacing w:before="240" w:after="240" w:line="360" w:lineRule="auto"/>
        <w:jc w:val="both"/>
        <w:rPr>
          <w:rFonts w:ascii="Times New Roman" w:hAnsi="Times New Roman" w:cs="Times New Roman"/>
          <w:lang w:val="vi-VN"/>
        </w:rPr>
      </w:pPr>
      <w:r w:rsidRPr="00D622D7">
        <w:rPr>
          <w:rFonts w:ascii="Times New Roman" w:hAnsi="Times New Roman" w:cs="Times New Roman"/>
          <w:lang w:val="vi-VN"/>
        </w:rPr>
        <w:t>Người nào rủ rê, dụ dỗ, xúi giục hoặc bằng các thủ đoạn khác nhau lôi kéo người khác sử dụng trái phép chất ma tuý thì bị phạt tù từ 1 năm đến 5 năm.</w:t>
      </w:r>
    </w:p>
    <w:p w14:paraId="14A409C5" w14:textId="7D248E53" w:rsidR="006004B3" w:rsidRDefault="006004B3" w:rsidP="006004B3">
      <w:pPr>
        <w:pStyle w:val="ListParagraph"/>
        <w:numPr>
          <w:ilvl w:val="0"/>
          <w:numId w:val="6"/>
        </w:numPr>
        <w:spacing w:before="240" w:after="240" w:line="360" w:lineRule="auto"/>
        <w:jc w:val="both"/>
        <w:rPr>
          <w:rFonts w:ascii="Times New Roman" w:hAnsi="Times New Roman" w:cs="Times New Roman"/>
          <w:lang w:val="vi-VN"/>
        </w:rPr>
      </w:pPr>
      <w:r>
        <w:rPr>
          <w:rFonts w:ascii="Times New Roman" w:hAnsi="Times New Roman" w:cs="Times New Roman"/>
        </w:rPr>
        <w:t xml:space="preserve">Giả định: </w:t>
      </w:r>
      <w:r w:rsidRPr="00D622D7">
        <w:rPr>
          <w:rFonts w:ascii="Times New Roman" w:hAnsi="Times New Roman" w:cs="Times New Roman"/>
          <w:lang w:val="vi-VN"/>
        </w:rPr>
        <w:t>Người nào rủ rê, dụ dỗ, xúi giục hoặc bằng các thủ đoạn khác nhau lôi kéo người khác sử dụng trái phép chất ma tuý</w:t>
      </w:r>
    </w:p>
    <w:p w14:paraId="68CF9642" w14:textId="71A1A2DD" w:rsidR="006004B3" w:rsidRPr="006004B3" w:rsidRDefault="006004B3" w:rsidP="006004B3">
      <w:pPr>
        <w:pStyle w:val="ListParagraph"/>
        <w:numPr>
          <w:ilvl w:val="0"/>
          <w:numId w:val="6"/>
        </w:numPr>
        <w:spacing w:before="240" w:after="240" w:line="360" w:lineRule="auto"/>
        <w:jc w:val="both"/>
        <w:rPr>
          <w:rFonts w:ascii="Times New Roman" w:hAnsi="Times New Roman" w:cs="Times New Roman"/>
          <w:lang w:val="vi-VN"/>
        </w:rPr>
      </w:pPr>
      <w:r>
        <w:rPr>
          <w:rFonts w:ascii="Times New Roman" w:hAnsi="Times New Roman" w:cs="Times New Roman"/>
        </w:rPr>
        <w:t xml:space="preserve">Chế tài: </w:t>
      </w:r>
      <w:r w:rsidRPr="00D622D7">
        <w:rPr>
          <w:rFonts w:ascii="Times New Roman" w:hAnsi="Times New Roman" w:cs="Times New Roman"/>
          <w:lang w:val="vi-VN"/>
        </w:rPr>
        <w:t>thì bị phạt tù từ 1 năm đến 5 năm</w:t>
      </w:r>
    </w:p>
    <w:p w14:paraId="09675885" w14:textId="1D172E4B" w:rsidR="00A82381" w:rsidRDefault="00A82381" w:rsidP="006004B3">
      <w:pPr>
        <w:pStyle w:val="ListParagraph"/>
        <w:numPr>
          <w:ilvl w:val="0"/>
          <w:numId w:val="1"/>
        </w:numPr>
        <w:spacing w:before="240" w:after="240" w:line="360" w:lineRule="auto"/>
        <w:jc w:val="both"/>
        <w:rPr>
          <w:rFonts w:ascii="Times New Roman" w:hAnsi="Times New Roman" w:cs="Times New Roman"/>
          <w:lang w:val="vi-VN"/>
        </w:rPr>
      </w:pPr>
      <w:r w:rsidRPr="00D622D7">
        <w:rPr>
          <w:rFonts w:ascii="Times New Roman" w:hAnsi="Times New Roman" w:cs="Times New Roman"/>
          <w:lang w:val="vi-VN"/>
        </w:rPr>
        <w:t>Đối tượng bị áp dụng biện pháp xử lý hành chính là cá nhân được quy định tại các Điều 90,</w:t>
      </w:r>
      <w:r w:rsidR="006004B3">
        <w:rPr>
          <w:rFonts w:ascii="Times New Roman" w:hAnsi="Times New Roman" w:cs="Times New Roman"/>
        </w:rPr>
        <w:t xml:space="preserve"> </w:t>
      </w:r>
      <w:r w:rsidRPr="00D622D7">
        <w:rPr>
          <w:rFonts w:ascii="Times New Roman" w:hAnsi="Times New Roman" w:cs="Times New Roman"/>
          <w:lang w:val="vi-VN"/>
        </w:rPr>
        <w:t>92,</w:t>
      </w:r>
      <w:r w:rsidR="006004B3">
        <w:rPr>
          <w:rFonts w:ascii="Times New Roman" w:hAnsi="Times New Roman" w:cs="Times New Roman"/>
        </w:rPr>
        <w:t xml:space="preserve"> </w:t>
      </w:r>
      <w:r w:rsidRPr="00D622D7">
        <w:rPr>
          <w:rFonts w:ascii="Times New Roman" w:hAnsi="Times New Roman" w:cs="Times New Roman"/>
          <w:lang w:val="vi-VN"/>
        </w:rPr>
        <w:t>94 và 96 của Luật này. (Điều 5, Luật xử lý vi phạm hành chính 2012, sửa đổi bổ sung 2020).</w:t>
      </w:r>
    </w:p>
    <w:p w14:paraId="3E5DBF27" w14:textId="7324EADC" w:rsidR="006004B3" w:rsidRPr="00D622D7" w:rsidRDefault="006004B3" w:rsidP="006004B3">
      <w:pPr>
        <w:pStyle w:val="ListParagraph"/>
        <w:numPr>
          <w:ilvl w:val="0"/>
          <w:numId w:val="7"/>
        </w:numPr>
        <w:spacing w:before="240" w:after="240" w:line="360" w:lineRule="auto"/>
        <w:jc w:val="both"/>
        <w:rPr>
          <w:rFonts w:ascii="Times New Roman" w:hAnsi="Times New Roman" w:cs="Times New Roman"/>
          <w:lang w:val="vi-VN"/>
        </w:rPr>
      </w:pPr>
      <w:r>
        <w:rPr>
          <w:rFonts w:ascii="Times New Roman" w:hAnsi="Times New Roman" w:cs="Times New Roman"/>
        </w:rPr>
        <w:t xml:space="preserve">Quy định: </w:t>
      </w:r>
      <w:r w:rsidRPr="00D622D7">
        <w:rPr>
          <w:rFonts w:ascii="Times New Roman" w:hAnsi="Times New Roman" w:cs="Times New Roman"/>
          <w:lang w:val="vi-VN"/>
        </w:rPr>
        <w:t>Đối tượng bị áp dụng biện pháp xử lý hành chính là cá nhân được quy định tại các Điều 90,</w:t>
      </w:r>
      <w:r>
        <w:rPr>
          <w:rFonts w:ascii="Times New Roman" w:hAnsi="Times New Roman" w:cs="Times New Roman"/>
        </w:rPr>
        <w:t xml:space="preserve"> </w:t>
      </w:r>
      <w:r w:rsidRPr="00D622D7">
        <w:rPr>
          <w:rFonts w:ascii="Times New Roman" w:hAnsi="Times New Roman" w:cs="Times New Roman"/>
          <w:lang w:val="vi-VN"/>
        </w:rPr>
        <w:t>92,</w:t>
      </w:r>
      <w:r>
        <w:rPr>
          <w:rFonts w:ascii="Times New Roman" w:hAnsi="Times New Roman" w:cs="Times New Roman"/>
        </w:rPr>
        <w:t xml:space="preserve"> </w:t>
      </w:r>
      <w:r w:rsidRPr="00D622D7">
        <w:rPr>
          <w:rFonts w:ascii="Times New Roman" w:hAnsi="Times New Roman" w:cs="Times New Roman"/>
          <w:lang w:val="vi-VN"/>
        </w:rPr>
        <w:t>94 và 96 của Luật này</w:t>
      </w:r>
    </w:p>
    <w:p w14:paraId="5CBBAE19" w14:textId="77777777" w:rsidR="00A82381" w:rsidRDefault="00A82381" w:rsidP="006004B3">
      <w:pPr>
        <w:pStyle w:val="ListParagraph"/>
        <w:numPr>
          <w:ilvl w:val="0"/>
          <w:numId w:val="1"/>
        </w:numPr>
        <w:spacing w:before="240" w:after="240" w:line="360" w:lineRule="auto"/>
        <w:jc w:val="both"/>
        <w:rPr>
          <w:rFonts w:ascii="Times New Roman" w:hAnsi="Times New Roman" w:cs="Times New Roman"/>
          <w:lang w:val="vi-VN"/>
        </w:rPr>
      </w:pPr>
      <w:r w:rsidRPr="00D622D7">
        <w:rPr>
          <w:rFonts w:ascii="Times New Roman" w:hAnsi="Times New Roman" w:cs="Times New Roman"/>
          <w:lang w:val="vi-VN"/>
        </w:rPr>
        <w:t>Việc thay đổi họ, tên, quốc tịch phải được đăng ký tại cơ quan nhà nước có thẩm quyền về hộ tịch (Điều 65, Bộ Luật Dân sự 2015).</w:t>
      </w:r>
    </w:p>
    <w:p w14:paraId="0944928D" w14:textId="43F97C00" w:rsidR="006004B3" w:rsidRPr="00D622D7" w:rsidRDefault="006004B3" w:rsidP="006004B3">
      <w:pPr>
        <w:pStyle w:val="ListParagraph"/>
        <w:numPr>
          <w:ilvl w:val="0"/>
          <w:numId w:val="7"/>
        </w:numPr>
        <w:spacing w:before="240" w:after="240" w:line="360" w:lineRule="auto"/>
        <w:jc w:val="both"/>
        <w:rPr>
          <w:rFonts w:ascii="Times New Roman" w:hAnsi="Times New Roman" w:cs="Times New Roman"/>
          <w:lang w:val="vi-VN"/>
        </w:rPr>
      </w:pPr>
      <w:r>
        <w:rPr>
          <w:rFonts w:ascii="Times New Roman" w:hAnsi="Times New Roman" w:cs="Times New Roman"/>
        </w:rPr>
        <w:t xml:space="preserve">Quy định: </w:t>
      </w:r>
      <w:r w:rsidRPr="00D622D7">
        <w:rPr>
          <w:rFonts w:ascii="Times New Roman" w:hAnsi="Times New Roman" w:cs="Times New Roman"/>
          <w:lang w:val="vi-VN"/>
        </w:rPr>
        <w:t>Việc thay đổi họ, tên, quốc tịch phải được đăng ký tại cơ quan nhà nước có thẩm quyền về hộ tịch</w:t>
      </w:r>
    </w:p>
    <w:p w14:paraId="2712CF5F" w14:textId="5516DB7F" w:rsidR="00A82381" w:rsidRDefault="00A82381" w:rsidP="006004B3">
      <w:pPr>
        <w:pStyle w:val="ListParagraph"/>
        <w:numPr>
          <w:ilvl w:val="0"/>
          <w:numId w:val="1"/>
        </w:numPr>
        <w:spacing w:before="240" w:after="240" w:line="360" w:lineRule="auto"/>
        <w:jc w:val="both"/>
        <w:rPr>
          <w:rFonts w:ascii="Times New Roman" w:hAnsi="Times New Roman" w:cs="Times New Roman"/>
          <w:lang w:val="vi-VN"/>
        </w:rPr>
      </w:pPr>
      <w:r w:rsidRPr="00D622D7">
        <w:rPr>
          <w:rFonts w:ascii="Times New Roman" w:hAnsi="Times New Roman" w:cs="Times New Roman"/>
          <w:lang w:val="vi-VN"/>
        </w:rPr>
        <w:t>Phạt tiền từ 5.000.000 đến 10.000.000 đồng đối với nhà đầu tư có hành vi đầu tư kinh doanh vốn nhà nước khi chưa được cơ quan có thẩm quyền thẩm định chấp thuận sử dụng vốn nhà nước để đầu tư. (Khoản 1, Điều 23 Nghị Định 53/2007/NĐ-CP).</w:t>
      </w:r>
    </w:p>
    <w:p w14:paraId="48F2A8C5" w14:textId="082CD0BF" w:rsidR="006004B3" w:rsidRDefault="006004B3" w:rsidP="006004B3">
      <w:pPr>
        <w:pStyle w:val="ListParagraph"/>
        <w:numPr>
          <w:ilvl w:val="0"/>
          <w:numId w:val="7"/>
        </w:numPr>
        <w:spacing w:before="240" w:after="240" w:line="360" w:lineRule="auto"/>
        <w:jc w:val="both"/>
        <w:rPr>
          <w:rFonts w:ascii="Times New Roman" w:hAnsi="Times New Roman" w:cs="Times New Roman"/>
          <w:lang w:val="vi-VN"/>
        </w:rPr>
      </w:pPr>
      <w:r>
        <w:rPr>
          <w:rFonts w:ascii="Times New Roman" w:hAnsi="Times New Roman" w:cs="Times New Roman"/>
        </w:rPr>
        <w:t xml:space="preserve">Giả định: </w:t>
      </w:r>
      <w:r w:rsidRPr="00D622D7">
        <w:rPr>
          <w:rFonts w:ascii="Times New Roman" w:hAnsi="Times New Roman" w:cs="Times New Roman"/>
          <w:lang w:val="vi-VN"/>
        </w:rPr>
        <w:t>nhà đầu tư có hành vi đầu tư kinh doanh vốn nhà nước khi chưa được cơ quan có thẩm quyền thẩm định chấp thuận sử dụng vốn nhà nước để đầu tư</w:t>
      </w:r>
    </w:p>
    <w:p w14:paraId="4C6C8656" w14:textId="1A79D958" w:rsidR="006004B3" w:rsidRPr="00D622D7" w:rsidRDefault="006004B3" w:rsidP="006004B3">
      <w:pPr>
        <w:pStyle w:val="ListParagraph"/>
        <w:numPr>
          <w:ilvl w:val="0"/>
          <w:numId w:val="7"/>
        </w:numPr>
        <w:spacing w:before="240" w:after="240" w:line="360" w:lineRule="auto"/>
        <w:jc w:val="both"/>
        <w:rPr>
          <w:rFonts w:ascii="Times New Roman" w:hAnsi="Times New Roman" w:cs="Times New Roman"/>
          <w:lang w:val="vi-VN"/>
        </w:rPr>
      </w:pPr>
      <w:r>
        <w:rPr>
          <w:rFonts w:ascii="Times New Roman" w:hAnsi="Times New Roman" w:cs="Times New Roman"/>
        </w:rPr>
        <w:t xml:space="preserve">Chế tài: </w:t>
      </w:r>
      <w:r w:rsidRPr="00D622D7">
        <w:rPr>
          <w:rFonts w:ascii="Times New Roman" w:hAnsi="Times New Roman" w:cs="Times New Roman"/>
          <w:lang w:val="vi-VN"/>
        </w:rPr>
        <w:t>Phạt tiền từ 5.000.000 đến 10.000.000 đồng</w:t>
      </w:r>
    </w:p>
    <w:p w14:paraId="17AA44A2" w14:textId="1B5B76AC" w:rsidR="00A82381" w:rsidRDefault="00A82381" w:rsidP="006004B3">
      <w:pPr>
        <w:pStyle w:val="ListParagraph"/>
        <w:numPr>
          <w:ilvl w:val="0"/>
          <w:numId w:val="1"/>
        </w:numPr>
        <w:spacing w:before="240" w:after="240" w:line="360" w:lineRule="auto"/>
        <w:jc w:val="both"/>
        <w:rPr>
          <w:rFonts w:ascii="Times New Roman" w:hAnsi="Times New Roman" w:cs="Times New Roman"/>
          <w:lang w:val="vi-VN"/>
        </w:rPr>
      </w:pPr>
      <w:r w:rsidRPr="00D622D7">
        <w:rPr>
          <w:rFonts w:ascii="Times New Roman" w:hAnsi="Times New Roman" w:cs="Times New Roman"/>
          <w:lang w:val="vi-VN"/>
        </w:rPr>
        <w:t>Trường hợp bên được bảo lãnh không thực hiện hoặc thực hiện không đúng nghĩa vụ</w:t>
      </w:r>
      <w:r w:rsidR="00865D14">
        <w:rPr>
          <w:rFonts w:ascii="Times New Roman" w:hAnsi="Times New Roman" w:cs="Times New Roman"/>
          <w:lang w:val="vi-VN"/>
        </w:rPr>
        <w:t>,</w:t>
      </w:r>
      <w:r w:rsidRPr="00D622D7">
        <w:rPr>
          <w:rFonts w:ascii="Times New Roman" w:hAnsi="Times New Roman" w:cs="Times New Roman"/>
          <w:lang w:val="vi-VN"/>
        </w:rPr>
        <w:t xml:space="preserve"> bên bảo lãnh</w:t>
      </w:r>
      <w:r w:rsidR="00865D14">
        <w:rPr>
          <w:rFonts w:ascii="Times New Roman" w:hAnsi="Times New Roman" w:cs="Times New Roman"/>
          <w:lang w:val="vi-VN"/>
        </w:rPr>
        <w:t xml:space="preserve"> </w:t>
      </w:r>
      <w:r w:rsidRPr="00D622D7">
        <w:rPr>
          <w:rFonts w:ascii="Times New Roman" w:hAnsi="Times New Roman" w:cs="Times New Roman"/>
          <w:lang w:val="vi-VN"/>
        </w:rPr>
        <w:t>phải thực hiện nghĩa vụ đó (Điều 335, Bộ luật Dân sự 2015).</w:t>
      </w:r>
    </w:p>
    <w:p w14:paraId="73DDD624" w14:textId="48291774" w:rsidR="006004B3" w:rsidRDefault="006004B3" w:rsidP="006004B3">
      <w:pPr>
        <w:pStyle w:val="ListParagraph"/>
        <w:numPr>
          <w:ilvl w:val="0"/>
          <w:numId w:val="8"/>
        </w:numPr>
        <w:spacing w:before="240" w:after="240" w:line="360" w:lineRule="auto"/>
        <w:jc w:val="both"/>
        <w:rPr>
          <w:rFonts w:ascii="Times New Roman" w:hAnsi="Times New Roman" w:cs="Times New Roman"/>
          <w:lang w:val="vi-VN"/>
        </w:rPr>
      </w:pPr>
      <w:r>
        <w:rPr>
          <w:rFonts w:ascii="Times New Roman" w:hAnsi="Times New Roman" w:cs="Times New Roman"/>
        </w:rPr>
        <w:t xml:space="preserve">Giả định: </w:t>
      </w:r>
      <w:r w:rsidRPr="00D622D7">
        <w:rPr>
          <w:rFonts w:ascii="Times New Roman" w:hAnsi="Times New Roman" w:cs="Times New Roman"/>
          <w:lang w:val="vi-VN"/>
        </w:rPr>
        <w:t>Trường hợp bên được bảo lãnh không thực hiện hoặc thực hiện không đúng nghĩa vụ</w:t>
      </w:r>
    </w:p>
    <w:p w14:paraId="1764E16C" w14:textId="7593399A" w:rsidR="006004B3" w:rsidRPr="00D622D7" w:rsidRDefault="006004B3" w:rsidP="006004B3">
      <w:pPr>
        <w:pStyle w:val="ListParagraph"/>
        <w:numPr>
          <w:ilvl w:val="0"/>
          <w:numId w:val="8"/>
        </w:numPr>
        <w:spacing w:before="240" w:after="240" w:line="360" w:lineRule="auto"/>
        <w:jc w:val="both"/>
        <w:rPr>
          <w:rFonts w:ascii="Times New Roman" w:hAnsi="Times New Roman" w:cs="Times New Roman"/>
          <w:lang w:val="vi-VN"/>
        </w:rPr>
      </w:pPr>
      <w:r>
        <w:rPr>
          <w:rFonts w:ascii="Times New Roman" w:hAnsi="Times New Roman" w:cs="Times New Roman"/>
        </w:rPr>
        <w:t xml:space="preserve">Chế tài: </w:t>
      </w:r>
      <w:r w:rsidRPr="00D622D7">
        <w:rPr>
          <w:rFonts w:ascii="Times New Roman" w:hAnsi="Times New Roman" w:cs="Times New Roman"/>
          <w:lang w:val="vi-VN"/>
        </w:rPr>
        <w:t>bên bảo lãnh</w:t>
      </w:r>
      <w:r>
        <w:rPr>
          <w:rFonts w:ascii="Times New Roman" w:hAnsi="Times New Roman" w:cs="Times New Roman"/>
          <w:lang w:val="vi-VN"/>
        </w:rPr>
        <w:t xml:space="preserve"> </w:t>
      </w:r>
      <w:r w:rsidRPr="00D622D7">
        <w:rPr>
          <w:rFonts w:ascii="Times New Roman" w:hAnsi="Times New Roman" w:cs="Times New Roman"/>
          <w:lang w:val="vi-VN"/>
        </w:rPr>
        <w:t>phải thực hiện nghĩa vụ đó</w:t>
      </w:r>
    </w:p>
    <w:p w14:paraId="7A17BB83" w14:textId="5A488EC2" w:rsidR="00A82381" w:rsidRPr="006004B3" w:rsidRDefault="00A82381" w:rsidP="006004B3">
      <w:pPr>
        <w:pStyle w:val="ListParagraph"/>
        <w:numPr>
          <w:ilvl w:val="0"/>
          <w:numId w:val="1"/>
        </w:numPr>
        <w:spacing w:before="240" w:after="240" w:line="360" w:lineRule="auto"/>
        <w:rPr>
          <w:rFonts w:ascii="Times New Roman" w:hAnsi="Times New Roman" w:cs="Times New Roman"/>
          <w:lang w:val="vi-VN"/>
        </w:rPr>
      </w:pPr>
      <w:r w:rsidRPr="00D622D7">
        <w:rPr>
          <w:rFonts w:ascii="Times New Roman" w:hAnsi="Times New Roman" w:cs="Times New Roman"/>
          <w:color w:val="202124"/>
          <w:lang w:val="vi-VN"/>
        </w:rPr>
        <w:lastRenderedPageBreak/>
        <w:t>Phạt tiền từ 60.000 đồng đến 100.000 đồng đối với người đi bộ thực hiện một trong các hành vi vi phạm sau đây: a) Không đi đúng phần đường quy định; vượt qua dải phân cách; đi qua đường không đúng nơi quy định hoặc không bảo đảm an toàn; b) Không chấp hành hiệu lệnh hoặc chỉ dẫn của đèn tín hiệu, biển báo hiệu, vạch kẻ đường c) Không chấp hành hiệu lệnh, hướng dẫn của người điều khiển giao thông hoặc người kiểm soát giao thông; d) Mang, vác vật cồng kềnh gây cản trở giao thông. (Khoản 1 Điều 9 Nghị định 100/2019/NĐ-CP quy định xử phạt vi phạm hành chính trong lĩnh vực giao thông đường bộ và đường sắt).</w:t>
      </w:r>
    </w:p>
    <w:p w14:paraId="1A093981" w14:textId="15EF79BD" w:rsidR="006004B3" w:rsidRPr="006004B3" w:rsidRDefault="006004B3" w:rsidP="006004B3">
      <w:pPr>
        <w:pStyle w:val="ListParagraph"/>
        <w:numPr>
          <w:ilvl w:val="0"/>
          <w:numId w:val="9"/>
        </w:numPr>
        <w:spacing w:before="240" w:after="240" w:line="360" w:lineRule="auto"/>
        <w:rPr>
          <w:rFonts w:ascii="Times New Roman" w:hAnsi="Times New Roman" w:cs="Times New Roman"/>
          <w:lang w:val="vi-VN"/>
        </w:rPr>
      </w:pPr>
      <w:r>
        <w:rPr>
          <w:rFonts w:ascii="Times New Roman" w:hAnsi="Times New Roman" w:cs="Times New Roman"/>
        </w:rPr>
        <w:t xml:space="preserve">Giả định: </w:t>
      </w:r>
      <w:r w:rsidRPr="00D622D7">
        <w:rPr>
          <w:rFonts w:ascii="Times New Roman" w:hAnsi="Times New Roman" w:cs="Times New Roman"/>
          <w:color w:val="202124"/>
          <w:lang w:val="vi-VN"/>
        </w:rPr>
        <w:t>người đi bộ thực hiện một trong các hành vi vi phạm sau đây: a) Không đi đúng phần đường quy định; vượt qua dải phân cách; đi qua đường không đúng nơi quy định hoặc không bảo đảm an toàn; b) Không chấp hành hiệu lệnh hoặc chỉ dẫn của đèn tín hiệu, biển báo hiệu, vạch kẻ đường c) Không chấp hành hiệu lệnh, hướng dẫn của người điều khiển giao thông hoặc người kiểm soát giao thông; d) Mang, vác vật cồng kềnh gây cản trở giao thông.</w:t>
      </w:r>
    </w:p>
    <w:p w14:paraId="5C7D3C48" w14:textId="0F733610" w:rsidR="006004B3" w:rsidRPr="00D622D7" w:rsidRDefault="006004B3" w:rsidP="006004B3">
      <w:pPr>
        <w:pStyle w:val="ListParagraph"/>
        <w:numPr>
          <w:ilvl w:val="0"/>
          <w:numId w:val="9"/>
        </w:numPr>
        <w:spacing w:before="240" w:after="240" w:line="360" w:lineRule="auto"/>
        <w:rPr>
          <w:rFonts w:ascii="Times New Roman" w:hAnsi="Times New Roman" w:cs="Times New Roman"/>
          <w:lang w:val="vi-VN"/>
        </w:rPr>
      </w:pPr>
      <w:r>
        <w:rPr>
          <w:rFonts w:ascii="Times New Roman" w:hAnsi="Times New Roman" w:cs="Times New Roman"/>
          <w:color w:val="202124"/>
        </w:rPr>
        <w:t xml:space="preserve">Chế tài: </w:t>
      </w:r>
      <w:r w:rsidRPr="00D622D7">
        <w:rPr>
          <w:rFonts w:ascii="Times New Roman" w:hAnsi="Times New Roman" w:cs="Times New Roman"/>
          <w:color w:val="202124"/>
          <w:lang w:val="vi-VN"/>
        </w:rPr>
        <w:t>Phạt tiền từ 60.000 đồng đến 100.000 đồng</w:t>
      </w:r>
    </w:p>
    <w:p w14:paraId="7B81876C" w14:textId="77777777" w:rsidR="00A82381" w:rsidRDefault="00A82381" w:rsidP="006004B3">
      <w:pPr>
        <w:pStyle w:val="ListParagraph"/>
        <w:numPr>
          <w:ilvl w:val="0"/>
          <w:numId w:val="1"/>
        </w:numPr>
        <w:spacing w:before="240" w:after="240" w:line="360" w:lineRule="auto"/>
        <w:rPr>
          <w:rFonts w:ascii="Times New Roman" w:hAnsi="Times New Roman" w:cs="Times New Roman"/>
          <w:lang w:val="vi-VN"/>
        </w:rPr>
      </w:pPr>
      <w:r w:rsidRPr="00D622D7">
        <w:rPr>
          <w:rFonts w:ascii="Times New Roman" w:hAnsi="Times New Roman" w:cs="Times New Roman"/>
          <w:color w:val="202124"/>
          <w:shd w:val="clear" w:color="auto" w:fill="FFFFFF"/>
          <w:lang w:val="vi-VN"/>
        </w:rPr>
        <w:t>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Cộng hòa xã hội chủ nghĩa Việt Nam là thành viên có quy định khác.</w:t>
      </w:r>
      <w:r w:rsidRPr="00D622D7">
        <w:rPr>
          <w:rFonts w:ascii="Times New Roman" w:hAnsi="Times New Roman" w:cs="Times New Roman"/>
          <w:lang w:val="vi-VN"/>
        </w:rPr>
        <w:t xml:space="preserve"> ( Khoản 4 Điều 14 Luật Đầu tư 2014)</w:t>
      </w:r>
    </w:p>
    <w:p w14:paraId="29832DB3" w14:textId="2A767C40" w:rsidR="006004B3" w:rsidRPr="006004B3" w:rsidRDefault="006004B3" w:rsidP="006004B3">
      <w:pPr>
        <w:pStyle w:val="ListParagraph"/>
        <w:numPr>
          <w:ilvl w:val="0"/>
          <w:numId w:val="10"/>
        </w:numPr>
        <w:spacing w:before="240" w:after="240" w:line="360" w:lineRule="auto"/>
        <w:rPr>
          <w:rFonts w:ascii="Times New Roman" w:hAnsi="Times New Roman" w:cs="Times New Roman"/>
          <w:lang w:val="vi-VN"/>
        </w:rPr>
      </w:pPr>
      <w:r>
        <w:rPr>
          <w:rFonts w:ascii="Times New Roman" w:hAnsi="Times New Roman" w:cs="Times New Roman"/>
        </w:rPr>
        <w:t>Giả định:</w:t>
      </w:r>
    </w:p>
    <w:p w14:paraId="1A09BE9E" w14:textId="542870CE" w:rsidR="006004B3" w:rsidRPr="006004B3" w:rsidRDefault="006004B3" w:rsidP="006004B3">
      <w:pPr>
        <w:pStyle w:val="ListParagraph"/>
        <w:numPr>
          <w:ilvl w:val="1"/>
          <w:numId w:val="10"/>
        </w:numPr>
        <w:spacing w:before="240" w:after="240" w:line="360" w:lineRule="auto"/>
        <w:rPr>
          <w:rFonts w:ascii="Times New Roman" w:hAnsi="Times New Roman" w:cs="Times New Roman"/>
          <w:lang w:val="vi-VN"/>
        </w:rPr>
      </w:pPr>
      <w:r w:rsidRPr="00D622D7">
        <w:rPr>
          <w:rFonts w:ascii="Times New Roman" w:hAnsi="Times New Roman" w:cs="Times New Roman"/>
          <w:color w:val="202124"/>
          <w:shd w:val="clear" w:color="auto" w:fill="FFFFFF"/>
          <w:lang w:val="vi-VN"/>
        </w:rPr>
        <w:t>Tranh chấp giữa nhà đầu tư nước ngoài với cơ quan nhà nước có thẩm quyền liên quan đến hoạt động đầu tư kinh doanh trên lãnh thổ Việt Nam</w:t>
      </w:r>
    </w:p>
    <w:p w14:paraId="7566CAEA" w14:textId="64C9A442" w:rsidR="006004B3" w:rsidRPr="006004B3" w:rsidRDefault="006004B3" w:rsidP="006004B3">
      <w:pPr>
        <w:pStyle w:val="ListParagraph"/>
        <w:numPr>
          <w:ilvl w:val="1"/>
          <w:numId w:val="10"/>
        </w:numPr>
        <w:spacing w:before="240" w:after="240" w:line="360" w:lineRule="auto"/>
        <w:rPr>
          <w:rFonts w:ascii="Times New Roman" w:hAnsi="Times New Roman" w:cs="Times New Roman"/>
          <w:lang w:val="vi-VN"/>
        </w:rPr>
      </w:pPr>
      <w:r w:rsidRPr="00D622D7">
        <w:rPr>
          <w:rFonts w:ascii="Times New Roman" w:hAnsi="Times New Roman" w:cs="Times New Roman"/>
          <w:color w:val="202124"/>
          <w:shd w:val="clear" w:color="auto" w:fill="FFFFFF"/>
          <w:lang w:val="vi-VN"/>
        </w:rPr>
        <w:t>trừ trường hợp có thỏa thuận khác theo hợp đồng hoặc Điều ước quốc tế mà Cộng hòa xã hội chủ nghĩa Việt Nam là thành viên có quy định khác</w:t>
      </w:r>
    </w:p>
    <w:p w14:paraId="33719C18" w14:textId="77284464" w:rsidR="006004B3" w:rsidRPr="00D622D7" w:rsidRDefault="006004B3" w:rsidP="006004B3">
      <w:pPr>
        <w:pStyle w:val="ListParagraph"/>
        <w:numPr>
          <w:ilvl w:val="0"/>
          <w:numId w:val="10"/>
        </w:numPr>
        <w:spacing w:before="240" w:after="240" w:line="360" w:lineRule="auto"/>
        <w:rPr>
          <w:rFonts w:ascii="Times New Roman" w:hAnsi="Times New Roman" w:cs="Times New Roman"/>
          <w:lang w:val="vi-VN"/>
        </w:rPr>
      </w:pPr>
      <w:r>
        <w:rPr>
          <w:rFonts w:ascii="Times New Roman" w:hAnsi="Times New Roman" w:cs="Times New Roman"/>
        </w:rPr>
        <w:t xml:space="preserve">Quy định: </w:t>
      </w:r>
      <w:r w:rsidRPr="00D622D7">
        <w:rPr>
          <w:rFonts w:ascii="Times New Roman" w:hAnsi="Times New Roman" w:cs="Times New Roman"/>
          <w:color w:val="202124"/>
          <w:shd w:val="clear" w:color="auto" w:fill="FFFFFF"/>
          <w:lang w:val="vi-VN"/>
        </w:rPr>
        <w:t>được giải quyết thông qua Trọng tài Việt Nam hoặc Tòa án Việt Nam</w:t>
      </w:r>
    </w:p>
    <w:p w14:paraId="33353DBC" w14:textId="5ED4A18C" w:rsidR="00A82381" w:rsidRPr="006004B3"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rPr>
      </w:pPr>
      <w:r w:rsidRPr="00D622D7">
        <w:rPr>
          <w:rFonts w:ascii="Times New Roman" w:hAnsi="Times New Roman" w:cs="Times New Roman"/>
          <w:color w:val="202124"/>
          <w:shd w:val="clear" w:color="auto" w:fill="FFFFFF"/>
          <w:lang w:val="vi-VN"/>
        </w:rPr>
        <w:t xml:space="preserve">Người sử dụng lao động có quyền lựa chọn hình thức trả lương theo thời gian, sản phẩm hoặc khoán. Hình thức trả lương đã chọn </w:t>
      </w:r>
      <w:r w:rsidRPr="00D622D7">
        <w:rPr>
          <w:rFonts w:ascii="Times New Roman" w:hAnsi="Times New Roman" w:cs="Times New Roman"/>
          <w:color w:val="000000" w:themeColor="text1"/>
          <w:shd w:val="clear" w:color="auto" w:fill="FFFFFF"/>
          <w:lang w:val="vi-VN"/>
        </w:rPr>
        <w:t>phải được duy trì trong một thời gian nhất định</w:t>
      </w:r>
      <w:r w:rsidRPr="00D622D7">
        <w:rPr>
          <w:rFonts w:ascii="Times New Roman" w:hAnsi="Times New Roman" w:cs="Times New Roman"/>
          <w:color w:val="202124"/>
          <w:shd w:val="clear" w:color="auto" w:fill="FFFFFF"/>
          <w:lang w:val="vi-VN"/>
        </w:rPr>
        <w:t>; trường hợp thay đổi hình thức trả lương, thì người sử dụng lao động phải thông báo cho người lao động biết trước ít nhất 10 ngày.</w:t>
      </w:r>
    </w:p>
    <w:p w14:paraId="0B0F4DD3" w14:textId="09C47355" w:rsidR="006004B3" w:rsidRPr="006004B3" w:rsidRDefault="006004B3" w:rsidP="006004B3">
      <w:pPr>
        <w:pStyle w:val="ListParagraph"/>
        <w:numPr>
          <w:ilvl w:val="0"/>
          <w:numId w:val="11"/>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lastRenderedPageBreak/>
        <w:t xml:space="preserve">Giả định: </w:t>
      </w:r>
      <w:r w:rsidRPr="00D622D7">
        <w:rPr>
          <w:rFonts w:ascii="Times New Roman" w:hAnsi="Times New Roman" w:cs="Times New Roman"/>
          <w:color w:val="202124"/>
          <w:shd w:val="clear" w:color="auto" w:fill="FFFFFF"/>
          <w:lang w:val="vi-VN"/>
        </w:rPr>
        <w:t xml:space="preserve">Người sử dụng lao động có quyền lựa chọn hình thức trả lương theo thời gian, sản phẩm hoặc khoán. Hình thức trả lương đã chọn </w:t>
      </w:r>
      <w:r w:rsidRPr="00D622D7">
        <w:rPr>
          <w:rFonts w:ascii="Times New Roman" w:hAnsi="Times New Roman" w:cs="Times New Roman"/>
          <w:color w:val="000000" w:themeColor="text1"/>
          <w:shd w:val="clear" w:color="auto" w:fill="FFFFFF"/>
          <w:lang w:val="vi-VN"/>
        </w:rPr>
        <w:t>phải được duy trì trong một thời gian nhất định</w:t>
      </w:r>
      <w:r w:rsidRPr="00D622D7">
        <w:rPr>
          <w:rFonts w:ascii="Times New Roman" w:hAnsi="Times New Roman" w:cs="Times New Roman"/>
          <w:color w:val="202124"/>
          <w:shd w:val="clear" w:color="auto" w:fill="FFFFFF"/>
          <w:lang w:val="vi-VN"/>
        </w:rPr>
        <w:t>; trường hợp thay đổi hình thức trả lương</w:t>
      </w:r>
    </w:p>
    <w:p w14:paraId="2C4C64D1" w14:textId="5C4C7789" w:rsidR="006004B3" w:rsidRPr="00D622D7" w:rsidRDefault="006004B3" w:rsidP="006004B3">
      <w:pPr>
        <w:pStyle w:val="ListParagraph"/>
        <w:numPr>
          <w:ilvl w:val="0"/>
          <w:numId w:val="11"/>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Quy định: </w:t>
      </w:r>
      <w:r w:rsidRPr="00D622D7">
        <w:rPr>
          <w:rFonts w:ascii="Times New Roman" w:hAnsi="Times New Roman" w:cs="Times New Roman"/>
          <w:color w:val="202124"/>
          <w:shd w:val="clear" w:color="auto" w:fill="FFFFFF"/>
          <w:lang w:val="vi-VN"/>
        </w:rPr>
        <w:t>người sử dụng lao động phải thông báo cho người lao động biết trước ít nhất 10 ngày</w:t>
      </w:r>
    </w:p>
    <w:p w14:paraId="1C8E26BF" w14:textId="46B978E5" w:rsidR="00A82381" w:rsidRPr="006004B3" w:rsidRDefault="00A82381" w:rsidP="006004B3">
      <w:pPr>
        <w:pStyle w:val="ListParagraph"/>
        <w:numPr>
          <w:ilvl w:val="0"/>
          <w:numId w:val="1"/>
        </w:numPr>
        <w:spacing w:before="240" w:after="240" w:line="360" w:lineRule="auto"/>
        <w:rPr>
          <w:rFonts w:ascii="Times New Roman" w:hAnsi="Times New Roman" w:cs="Times New Roman"/>
        </w:rPr>
      </w:pPr>
      <w:r w:rsidRPr="00D622D7">
        <w:rPr>
          <w:rFonts w:ascii="Times New Roman" w:hAnsi="Times New Roman" w:cs="Times New Roman"/>
          <w:color w:val="202124"/>
          <w:shd w:val="clear" w:color="auto" w:fill="FFFFFF"/>
        </w:rPr>
        <w:t>Trường hợp hợp đồng không có quy định cụ thể thì hàng hoá được coi là không phù hợp với hợp đồng khi hàng hoá đó thuộc một trong các trường hợp sau đây: a) Không phù hợp với mục đích sử dụng thông thường của các hàng hoá cùng chủng loại; b) Không phù hợp với bất kỳ mục đích cụ thể nào mà bên mua đã cho bên bán biết hoặc bên bán phải biết vào thời điểm giao kết hợp đồng; (Điểm a &amp; b Khoản 1 Điều 39 Luật Thương mại 2005)</w:t>
      </w:r>
      <w:r w:rsidRPr="00D622D7">
        <w:rPr>
          <w:rFonts w:ascii="Times New Roman" w:hAnsi="Times New Roman" w:cs="Times New Roman"/>
          <w:color w:val="202124"/>
          <w:shd w:val="clear" w:color="auto" w:fill="FFFFFF"/>
          <w:lang w:val="vi-VN"/>
        </w:rPr>
        <w:t>.</w:t>
      </w:r>
    </w:p>
    <w:p w14:paraId="55C60CC4" w14:textId="379E99F7" w:rsidR="006004B3" w:rsidRPr="00495561" w:rsidRDefault="006004B3" w:rsidP="006004B3">
      <w:pPr>
        <w:pStyle w:val="ListParagraph"/>
        <w:numPr>
          <w:ilvl w:val="0"/>
          <w:numId w:val="12"/>
        </w:numPr>
        <w:spacing w:before="240" w:after="240" w:line="360" w:lineRule="auto"/>
        <w:rPr>
          <w:rFonts w:ascii="Times New Roman" w:hAnsi="Times New Roman" w:cs="Times New Roman"/>
        </w:rPr>
      </w:pPr>
      <w:r>
        <w:rPr>
          <w:rFonts w:ascii="Times New Roman" w:hAnsi="Times New Roman" w:cs="Times New Roman"/>
        </w:rPr>
        <w:t>Giả định:</w:t>
      </w:r>
    </w:p>
    <w:p w14:paraId="4DA2D009" w14:textId="0D320835" w:rsidR="00495561" w:rsidRPr="00495561" w:rsidRDefault="00495561" w:rsidP="00495561">
      <w:pPr>
        <w:pStyle w:val="ListParagraph"/>
        <w:numPr>
          <w:ilvl w:val="1"/>
          <w:numId w:val="12"/>
        </w:numPr>
        <w:spacing w:before="240" w:after="240" w:line="360" w:lineRule="auto"/>
        <w:rPr>
          <w:rFonts w:ascii="Times New Roman" w:hAnsi="Times New Roman" w:cs="Times New Roman"/>
        </w:rPr>
      </w:pPr>
      <w:r w:rsidRPr="00D622D7">
        <w:rPr>
          <w:rFonts w:ascii="Times New Roman" w:hAnsi="Times New Roman" w:cs="Times New Roman"/>
          <w:color w:val="202124"/>
          <w:shd w:val="clear" w:color="auto" w:fill="FFFFFF"/>
        </w:rPr>
        <w:t>Trường hợp hợp đồng không có quy định cụ thể</w:t>
      </w:r>
    </w:p>
    <w:p w14:paraId="484A3B6C" w14:textId="4404C25E" w:rsidR="00495561" w:rsidRPr="00495561" w:rsidRDefault="00495561" w:rsidP="00495561">
      <w:pPr>
        <w:pStyle w:val="ListParagraph"/>
        <w:numPr>
          <w:ilvl w:val="1"/>
          <w:numId w:val="12"/>
        </w:numPr>
        <w:spacing w:before="240" w:after="240" w:line="360" w:lineRule="auto"/>
        <w:rPr>
          <w:rFonts w:ascii="Times New Roman" w:hAnsi="Times New Roman" w:cs="Times New Roman"/>
        </w:rPr>
      </w:pPr>
      <w:r w:rsidRPr="00D622D7">
        <w:rPr>
          <w:rFonts w:ascii="Times New Roman" w:hAnsi="Times New Roman" w:cs="Times New Roman"/>
          <w:color w:val="202124"/>
          <w:shd w:val="clear" w:color="auto" w:fill="FFFFFF"/>
        </w:rPr>
        <w:t>khi hàng hoá đó thuộc một trong các trường hợp sau đây: a) Không phù hợp với mục đích sử dụng thông thường của các hàng hoá cùng chủng loại; b) Không phù hợp với bất kỳ mục đích cụ thể nào mà bên mua đã cho bên bán biết hoặc bên bán phải biết vào thời điểm giao kết hợp đồng;</w:t>
      </w:r>
    </w:p>
    <w:p w14:paraId="1D911365" w14:textId="7207A655" w:rsidR="00495561" w:rsidRPr="00D622D7" w:rsidRDefault="00495561" w:rsidP="00495561">
      <w:pPr>
        <w:pStyle w:val="ListParagraph"/>
        <w:numPr>
          <w:ilvl w:val="0"/>
          <w:numId w:val="12"/>
        </w:numPr>
        <w:spacing w:before="240" w:after="240" w:line="360" w:lineRule="auto"/>
        <w:rPr>
          <w:rFonts w:ascii="Times New Roman" w:hAnsi="Times New Roman" w:cs="Times New Roman"/>
        </w:rPr>
      </w:pPr>
      <w:r>
        <w:rPr>
          <w:rFonts w:ascii="Times New Roman" w:hAnsi="Times New Roman" w:cs="Times New Roman"/>
        </w:rPr>
        <w:t xml:space="preserve">Quy định: </w:t>
      </w:r>
      <w:r w:rsidRPr="00D622D7">
        <w:rPr>
          <w:rFonts w:ascii="Times New Roman" w:hAnsi="Times New Roman" w:cs="Times New Roman"/>
          <w:color w:val="202124"/>
          <w:shd w:val="clear" w:color="auto" w:fill="FFFFFF"/>
        </w:rPr>
        <w:t>hàng hoá được coi là không phù hợp với hợp đồng</w:t>
      </w:r>
    </w:p>
    <w:p w14:paraId="147131E0" w14:textId="77777777" w:rsidR="00A82381" w:rsidRPr="00495561" w:rsidRDefault="00A82381" w:rsidP="006004B3">
      <w:pPr>
        <w:pStyle w:val="ListParagraph"/>
        <w:numPr>
          <w:ilvl w:val="0"/>
          <w:numId w:val="1"/>
        </w:numPr>
        <w:spacing w:before="240" w:after="240" w:line="360" w:lineRule="auto"/>
        <w:rPr>
          <w:rFonts w:ascii="Times New Roman" w:hAnsi="Times New Roman" w:cs="Times New Roman"/>
        </w:rPr>
      </w:pPr>
      <w:r w:rsidRPr="00D622D7">
        <w:rPr>
          <w:rFonts w:ascii="Times New Roman" w:hAnsi="Times New Roman" w:cs="Times New Roman"/>
          <w:color w:val="202124"/>
          <w:shd w:val="clear" w:color="auto" w:fill="FFFFFF"/>
        </w:rPr>
        <w:t>Phạt tiền từ 1.200.000 đồng đến 2.000.000 đồng đối với người điều khiển xe thực hiện một trong các hành vi vi phạm sau đây: a) Không chấp hành hiệu lệnh của đèn tín hiệu giao thông; b) Không chấp hành hiệu lệnh, hướng dẫn của người điều khiển giao thông hoặc người kiểm soát giao thông</w:t>
      </w:r>
      <w:r w:rsidRPr="00D622D7">
        <w:rPr>
          <w:rFonts w:ascii="Times New Roman" w:hAnsi="Times New Roman" w:cs="Times New Roman"/>
          <w:color w:val="202124"/>
          <w:shd w:val="clear" w:color="auto" w:fill="FFFFFF"/>
          <w:lang w:val="vi-VN"/>
        </w:rPr>
        <w:t>.</w:t>
      </w:r>
    </w:p>
    <w:p w14:paraId="48BCE7C7" w14:textId="457523D0" w:rsidR="00495561" w:rsidRPr="00495561" w:rsidRDefault="00495561" w:rsidP="00495561">
      <w:pPr>
        <w:pStyle w:val="ListParagraph"/>
        <w:numPr>
          <w:ilvl w:val="0"/>
          <w:numId w:val="13"/>
        </w:numPr>
        <w:spacing w:before="240" w:after="240" w:line="360" w:lineRule="auto"/>
        <w:rPr>
          <w:rFonts w:ascii="Times New Roman" w:hAnsi="Times New Roman" w:cs="Times New Roman"/>
        </w:rPr>
      </w:pPr>
      <w:r>
        <w:rPr>
          <w:rFonts w:ascii="Times New Roman" w:hAnsi="Times New Roman" w:cs="Times New Roman"/>
        </w:rPr>
        <w:t xml:space="preserve">Giả định: </w:t>
      </w:r>
      <w:r w:rsidRPr="00D622D7">
        <w:rPr>
          <w:rFonts w:ascii="Times New Roman" w:hAnsi="Times New Roman" w:cs="Times New Roman"/>
          <w:color w:val="202124"/>
          <w:shd w:val="clear" w:color="auto" w:fill="FFFFFF"/>
        </w:rPr>
        <w:t>người điều khiển xe thực hiện một trong các hành vi vi phạm sau đây: a) Không chấp hành hiệu lệnh của đèn tín hiệu giao thông; b) Không chấp hành hiệu lệnh, hướng dẫn của người điều khiển giao thông hoặc người kiểm soát giao thông</w:t>
      </w:r>
      <w:r w:rsidRPr="00D622D7">
        <w:rPr>
          <w:rFonts w:ascii="Times New Roman" w:hAnsi="Times New Roman" w:cs="Times New Roman"/>
          <w:color w:val="202124"/>
          <w:shd w:val="clear" w:color="auto" w:fill="FFFFFF"/>
          <w:lang w:val="vi-VN"/>
        </w:rPr>
        <w:t>.</w:t>
      </w:r>
    </w:p>
    <w:p w14:paraId="22E865BB" w14:textId="3085BC7F" w:rsidR="00495561" w:rsidRPr="00D622D7" w:rsidRDefault="00495561" w:rsidP="00495561">
      <w:pPr>
        <w:pStyle w:val="ListParagraph"/>
        <w:numPr>
          <w:ilvl w:val="0"/>
          <w:numId w:val="13"/>
        </w:numPr>
        <w:spacing w:before="240" w:after="240" w:line="360" w:lineRule="auto"/>
        <w:rPr>
          <w:rFonts w:ascii="Times New Roman" w:hAnsi="Times New Roman" w:cs="Times New Roman"/>
        </w:rPr>
      </w:pPr>
      <w:r>
        <w:rPr>
          <w:rFonts w:ascii="Times New Roman" w:hAnsi="Times New Roman" w:cs="Times New Roman"/>
          <w:color w:val="202124"/>
          <w:shd w:val="clear" w:color="auto" w:fill="FFFFFF"/>
        </w:rPr>
        <w:t xml:space="preserve">Chế tài: </w:t>
      </w:r>
      <w:r w:rsidRPr="00D622D7">
        <w:rPr>
          <w:rFonts w:ascii="Times New Roman" w:hAnsi="Times New Roman" w:cs="Times New Roman"/>
          <w:color w:val="202124"/>
          <w:shd w:val="clear" w:color="auto" w:fill="FFFFFF"/>
        </w:rPr>
        <w:t>Phạt tiền từ 1.200.000 đồng đến 2.000.000 đồng</w:t>
      </w:r>
    </w:p>
    <w:p w14:paraId="55931299" w14:textId="77777777" w:rsidR="00A82381" w:rsidRPr="00495561"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rPr>
      </w:pPr>
      <w:r w:rsidRPr="00D622D7">
        <w:rPr>
          <w:rFonts w:ascii="Times New Roman" w:hAnsi="Times New Roman" w:cs="Times New Roman"/>
          <w:color w:val="202124"/>
          <w:shd w:val="clear" w:color="auto" w:fill="FFFFFF"/>
        </w:rPr>
        <w:t xml:space="preserve">Cán bộ, công chức được nghỉ hàng năm, nghỉ lễ, nghỉ để giải quyết việc riêng theo quy định của pháp luật về lao động. Trường hợp do yêu cầu nhiệm vụ, cán bộ, công chức không sử dụng hoặc sử dụng không hết số ngày nghỉ hàng năm thì ngoài tiền lương còn </w:t>
      </w:r>
      <w:r w:rsidRPr="00D622D7">
        <w:rPr>
          <w:rFonts w:ascii="Times New Roman" w:hAnsi="Times New Roman" w:cs="Times New Roman"/>
          <w:color w:val="202124"/>
          <w:shd w:val="clear" w:color="auto" w:fill="FFFFFF"/>
        </w:rPr>
        <w:lastRenderedPageBreak/>
        <w:t>được thanh toán thêm một khoản tiền bằng tiền lương cho những ngày không nghỉ. (Điều 13 Luật Cán bộ, Công chức 2008</w:t>
      </w:r>
      <w:r w:rsidRPr="00D622D7">
        <w:rPr>
          <w:rFonts w:ascii="Times New Roman" w:hAnsi="Times New Roman" w:cs="Times New Roman"/>
          <w:color w:val="202124"/>
          <w:shd w:val="clear" w:color="auto" w:fill="FFFFFF"/>
          <w:lang w:val="vi-VN"/>
        </w:rPr>
        <w:t>, sửa đổi bổ sung 2019 và Luật Viên chức 2020</w:t>
      </w:r>
      <w:r w:rsidRPr="00D622D7">
        <w:rPr>
          <w:rFonts w:ascii="Times New Roman" w:hAnsi="Times New Roman" w:cs="Times New Roman"/>
          <w:color w:val="202124"/>
          <w:shd w:val="clear" w:color="auto" w:fill="FFFFFF"/>
        </w:rPr>
        <w:t>)</w:t>
      </w:r>
      <w:r w:rsidRPr="00D622D7">
        <w:rPr>
          <w:rFonts w:ascii="Times New Roman" w:hAnsi="Times New Roman" w:cs="Times New Roman"/>
          <w:color w:val="202124"/>
          <w:shd w:val="clear" w:color="auto" w:fill="FFFFFF"/>
          <w:lang w:val="vi-VN"/>
        </w:rPr>
        <w:t>.</w:t>
      </w:r>
    </w:p>
    <w:p w14:paraId="457055BD" w14:textId="63195C98" w:rsidR="00495561" w:rsidRPr="00495561" w:rsidRDefault="00495561" w:rsidP="00495561">
      <w:pPr>
        <w:pStyle w:val="ListParagraph"/>
        <w:numPr>
          <w:ilvl w:val="0"/>
          <w:numId w:val="14"/>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Quy định: </w:t>
      </w:r>
      <w:r w:rsidRPr="00D622D7">
        <w:rPr>
          <w:rFonts w:ascii="Times New Roman" w:hAnsi="Times New Roman" w:cs="Times New Roman"/>
          <w:color w:val="202124"/>
          <w:shd w:val="clear" w:color="auto" w:fill="FFFFFF"/>
        </w:rPr>
        <w:t>Cán bộ, công chức được nghỉ hàng năm, nghỉ lễ, nghỉ để giải quyết việc riêng theo quy định của pháp luật về lao động</w:t>
      </w:r>
      <w:r>
        <w:rPr>
          <w:rFonts w:ascii="Times New Roman" w:hAnsi="Times New Roman" w:cs="Times New Roman"/>
          <w:color w:val="202124"/>
          <w:shd w:val="clear" w:color="auto" w:fill="FFFFFF"/>
        </w:rPr>
        <w:t>.</w:t>
      </w:r>
    </w:p>
    <w:p w14:paraId="6E70B676" w14:textId="14CEDCCE" w:rsidR="00495561" w:rsidRDefault="00495561" w:rsidP="00495561">
      <w:pPr>
        <w:pStyle w:val="ListParagraph"/>
        <w:numPr>
          <w:ilvl w:val="0"/>
          <w:numId w:val="14"/>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rPr>
        <w:t>Trường hợp do yêu cầu nhiệm vụ, cán bộ, công chức không sử dụng hoặc sử dụng không hết số ngày nghỉ hàng năm</w:t>
      </w:r>
    </w:p>
    <w:p w14:paraId="260202A1" w14:textId="305017BF" w:rsidR="00495561" w:rsidRPr="00D622D7" w:rsidRDefault="00495561" w:rsidP="00495561">
      <w:pPr>
        <w:pStyle w:val="ListParagraph"/>
        <w:numPr>
          <w:ilvl w:val="0"/>
          <w:numId w:val="14"/>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Quy định: </w:t>
      </w:r>
      <w:r w:rsidRPr="00D622D7">
        <w:rPr>
          <w:rFonts w:ascii="Times New Roman" w:hAnsi="Times New Roman" w:cs="Times New Roman"/>
          <w:color w:val="202124"/>
          <w:shd w:val="clear" w:color="auto" w:fill="FFFFFF"/>
        </w:rPr>
        <w:t>thì ngoài tiền lương còn được thanh toán thêm một khoản tiền bằng tiền lương cho những ngày không nghỉ.</w:t>
      </w:r>
    </w:p>
    <w:p w14:paraId="063D6894" w14:textId="77777777" w:rsidR="00A82381" w:rsidRPr="00495561"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rPr>
      </w:pPr>
      <w:r w:rsidRPr="00D622D7">
        <w:rPr>
          <w:rFonts w:ascii="Times New Roman" w:hAnsi="Times New Roman" w:cs="Times New Roman"/>
          <w:color w:val="202124"/>
          <w:shd w:val="clear" w:color="auto" w:fill="FFFFFF"/>
        </w:rPr>
        <w:t>Trường hợp không có người thừa kế theo di chúc, theo pháp luật hoặc có nhưng không được quyền hưởng di sản, từ chối nhận di sản thì tài sản còn lại sau khi đã thực hiện nghĩa vụ về tài sản mà không có người nhận thừa kế thuộc về Nhà nước. (Điều 622 BLDS 2015)</w:t>
      </w:r>
      <w:r w:rsidRPr="00D622D7">
        <w:rPr>
          <w:rFonts w:ascii="Times New Roman" w:hAnsi="Times New Roman" w:cs="Times New Roman"/>
          <w:color w:val="202124"/>
          <w:shd w:val="clear" w:color="auto" w:fill="FFFFFF"/>
          <w:lang w:val="vi-VN"/>
        </w:rPr>
        <w:t>.</w:t>
      </w:r>
    </w:p>
    <w:p w14:paraId="5AA5FEFB" w14:textId="62820C97" w:rsidR="00495561" w:rsidRDefault="00495561" w:rsidP="00495561">
      <w:pPr>
        <w:pStyle w:val="ListParagraph"/>
        <w:numPr>
          <w:ilvl w:val="0"/>
          <w:numId w:val="15"/>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rPr>
        <w:t>Trường hợp không có người thừa kế theo di chúc, theo pháp luật hoặc có nhưng không được quyền hưởng di sản, từ chối nhận di sản</w:t>
      </w:r>
    </w:p>
    <w:p w14:paraId="0BDEA82A" w14:textId="4EB8749C" w:rsidR="00495561" w:rsidRPr="00D622D7" w:rsidRDefault="00495561" w:rsidP="00495561">
      <w:pPr>
        <w:pStyle w:val="ListParagraph"/>
        <w:numPr>
          <w:ilvl w:val="0"/>
          <w:numId w:val="15"/>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Quy định: </w:t>
      </w:r>
      <w:r w:rsidRPr="00D622D7">
        <w:rPr>
          <w:rFonts w:ascii="Times New Roman" w:hAnsi="Times New Roman" w:cs="Times New Roman"/>
          <w:color w:val="202124"/>
          <w:shd w:val="clear" w:color="auto" w:fill="FFFFFF"/>
        </w:rPr>
        <w:t>thì tài sản còn lại sau khi đã thực hiện nghĩa vụ về tài sản mà không có người nhận thừa kế thuộc về Nhà nước</w:t>
      </w:r>
      <w:r>
        <w:rPr>
          <w:rFonts w:ascii="Times New Roman" w:hAnsi="Times New Roman" w:cs="Times New Roman"/>
          <w:color w:val="202124"/>
          <w:shd w:val="clear" w:color="auto" w:fill="FFFFFF"/>
        </w:rPr>
        <w:t>.</w:t>
      </w:r>
    </w:p>
    <w:p w14:paraId="7CE1A5F1" w14:textId="77777777" w:rsidR="00A82381"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rPr>
        <w:t>Phạm tội thuộc một trong các trường hợp sau đây, thì bị phạt tù từ 05 năm đến 12 năm: a) Đối với 02 người trở lên; b) Đối với người dưới 16 tuổi, phụ nữ mà biết là có thai. (Khoản 2 Điều 130 BLHS 2015 (sửa đổi, bổ sung 2017)</w:t>
      </w:r>
      <w:r w:rsidRPr="00D622D7">
        <w:rPr>
          <w:rFonts w:ascii="Times New Roman" w:hAnsi="Times New Roman" w:cs="Times New Roman"/>
          <w:color w:val="202124"/>
          <w:shd w:val="clear" w:color="auto" w:fill="FFFFFF"/>
          <w:lang w:val="vi-VN"/>
        </w:rPr>
        <w:t>).</w:t>
      </w:r>
    </w:p>
    <w:p w14:paraId="63FFEF5C" w14:textId="06B05B6C" w:rsidR="00495561" w:rsidRPr="00495561" w:rsidRDefault="00495561" w:rsidP="00495561">
      <w:pPr>
        <w:pStyle w:val="ListParagraph"/>
        <w:numPr>
          <w:ilvl w:val="0"/>
          <w:numId w:val="16"/>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Chế tài: </w:t>
      </w:r>
      <w:r w:rsidRPr="00D622D7">
        <w:rPr>
          <w:rFonts w:ascii="Times New Roman" w:hAnsi="Times New Roman" w:cs="Times New Roman"/>
          <w:color w:val="202124"/>
          <w:shd w:val="clear" w:color="auto" w:fill="FFFFFF"/>
        </w:rPr>
        <w:t>Phạm tội thuộc một trong các trường hợp sau đây, thì bị phạt tù từ 05 năm đến 12 năm</w:t>
      </w:r>
    </w:p>
    <w:p w14:paraId="1745DFE1" w14:textId="63287E48" w:rsidR="00495561" w:rsidRPr="00D622D7" w:rsidRDefault="00495561" w:rsidP="00495561">
      <w:pPr>
        <w:pStyle w:val="ListParagraph"/>
        <w:numPr>
          <w:ilvl w:val="0"/>
          <w:numId w:val="16"/>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rPr>
        <w:t>a) Đối với 02 người trở lên; b) Đối với người dưới 16 tuổi, phụ nữ mà biết là có thai.</w:t>
      </w:r>
    </w:p>
    <w:p w14:paraId="77A806E2" w14:textId="77777777" w:rsidR="00A82381"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 xml:space="preserve">Người biểu diễn đồng thời là chủ đầu tư thì </w:t>
      </w:r>
      <w:r w:rsidRPr="00D622D7">
        <w:rPr>
          <w:rFonts w:ascii="Times New Roman" w:hAnsi="Times New Roman" w:cs="Times New Roman"/>
          <w:color w:val="000000" w:themeColor="text1"/>
          <w:shd w:val="clear" w:color="auto" w:fill="FFFFFF"/>
          <w:lang w:val="vi-VN"/>
        </w:rPr>
        <w:t>có các quyền nhân thân và các quyền tài sản đối với cuộc biểu diễn; trong trường hợp người biểu diễn không đồng thời là chủ đầu tư thì người biểu diễn có các quyền nhân thân và chủ đầu tư có các quyền tài sản đối với cuộc biểu diễn. (Điều 29 Luật Sở hữu trí tuệ 2005</w:t>
      </w:r>
      <w:r w:rsidRPr="00D622D7">
        <w:rPr>
          <w:rFonts w:ascii="Times New Roman" w:hAnsi="Times New Roman" w:cs="Times New Roman"/>
          <w:color w:val="202124"/>
          <w:shd w:val="clear" w:color="auto" w:fill="FFFFFF"/>
          <w:lang w:val="vi-VN"/>
        </w:rPr>
        <w:t>).</w:t>
      </w:r>
    </w:p>
    <w:p w14:paraId="36A9AEDD" w14:textId="2BE17F86" w:rsidR="00495561" w:rsidRDefault="00495561" w:rsidP="00495561">
      <w:pPr>
        <w:pStyle w:val="ListParagraph"/>
        <w:numPr>
          <w:ilvl w:val="0"/>
          <w:numId w:val="17"/>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lang w:val="vi-VN"/>
        </w:rPr>
        <w:t>Người biểu diễn đồng thời là chủ đầu tư</w:t>
      </w:r>
    </w:p>
    <w:p w14:paraId="05C2B4F4" w14:textId="48CD2F05" w:rsidR="00495561" w:rsidRPr="00495561" w:rsidRDefault="00495561" w:rsidP="00495561">
      <w:pPr>
        <w:pStyle w:val="ListParagraph"/>
        <w:numPr>
          <w:ilvl w:val="0"/>
          <w:numId w:val="17"/>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Quy định: </w:t>
      </w:r>
      <w:r w:rsidRPr="00D622D7">
        <w:rPr>
          <w:rFonts w:ascii="Times New Roman" w:hAnsi="Times New Roman" w:cs="Times New Roman"/>
          <w:color w:val="202124"/>
          <w:shd w:val="clear" w:color="auto" w:fill="FFFFFF"/>
          <w:lang w:val="vi-VN"/>
        </w:rPr>
        <w:t xml:space="preserve">thì </w:t>
      </w:r>
      <w:r w:rsidRPr="00D622D7">
        <w:rPr>
          <w:rFonts w:ascii="Times New Roman" w:hAnsi="Times New Roman" w:cs="Times New Roman"/>
          <w:color w:val="000000" w:themeColor="text1"/>
          <w:shd w:val="clear" w:color="auto" w:fill="FFFFFF"/>
          <w:lang w:val="vi-VN"/>
        </w:rPr>
        <w:t>có các quyền nhân thân và các quyền tài sản đối với cuộc biểu diễn</w:t>
      </w:r>
    </w:p>
    <w:p w14:paraId="298B1B5A" w14:textId="44A341CA" w:rsidR="00495561" w:rsidRPr="00495561" w:rsidRDefault="00495561" w:rsidP="00495561">
      <w:pPr>
        <w:pStyle w:val="ListParagraph"/>
        <w:numPr>
          <w:ilvl w:val="0"/>
          <w:numId w:val="17"/>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000000" w:themeColor="text1"/>
          <w:shd w:val="clear" w:color="auto" w:fill="FFFFFF"/>
        </w:rPr>
        <w:t xml:space="preserve">Giả định: </w:t>
      </w:r>
      <w:r w:rsidRPr="00D622D7">
        <w:rPr>
          <w:rFonts w:ascii="Times New Roman" w:hAnsi="Times New Roman" w:cs="Times New Roman"/>
          <w:color w:val="000000" w:themeColor="text1"/>
          <w:shd w:val="clear" w:color="auto" w:fill="FFFFFF"/>
          <w:lang w:val="vi-VN"/>
        </w:rPr>
        <w:t>trong trường hợp người biểu diễn không đồng thời là chủ đầu tư</w:t>
      </w:r>
    </w:p>
    <w:p w14:paraId="4B8FFC5A" w14:textId="787877A4" w:rsidR="00495561" w:rsidRPr="00D622D7" w:rsidRDefault="00495561" w:rsidP="00495561">
      <w:pPr>
        <w:pStyle w:val="ListParagraph"/>
        <w:numPr>
          <w:ilvl w:val="0"/>
          <w:numId w:val="17"/>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000000" w:themeColor="text1"/>
          <w:shd w:val="clear" w:color="auto" w:fill="FFFFFF"/>
        </w:rPr>
        <w:lastRenderedPageBreak/>
        <w:t xml:space="preserve">Quy định: </w:t>
      </w:r>
      <w:r w:rsidRPr="00D622D7">
        <w:rPr>
          <w:rFonts w:ascii="Times New Roman" w:hAnsi="Times New Roman" w:cs="Times New Roman"/>
          <w:color w:val="000000" w:themeColor="text1"/>
          <w:shd w:val="clear" w:color="auto" w:fill="FFFFFF"/>
          <w:lang w:val="vi-VN"/>
        </w:rPr>
        <w:t>thì người biểu diễn có các quyền nhân thân và chủ đầu tư có các quyền tài sản đối với cuộc biểu diễn</w:t>
      </w:r>
      <w:r>
        <w:rPr>
          <w:rFonts w:ascii="Times New Roman" w:hAnsi="Times New Roman" w:cs="Times New Roman"/>
          <w:color w:val="000000" w:themeColor="text1"/>
          <w:shd w:val="clear" w:color="auto" w:fill="FFFFFF"/>
        </w:rPr>
        <w:t>.</w:t>
      </w:r>
    </w:p>
    <w:p w14:paraId="041D0185" w14:textId="77777777" w:rsidR="00A82381"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Điều kiện chào bán cổ phiếu ra công chúng bao gồm: a) Doanh nghiệp có mức vốn điều lệ đã góp tại thời điểm đăng ký chào bán từ mười tỷ đồng Việt Nam trở lên tính theo giá trị ghi trên sổ kế toán; b) Hoạt động kinh doanh của năm liền trước năm đăng ký chào bán phải có lãi, đồng thời không có lỗ luỹ kế tính đến năm đăng ký chào bán; c) Có phương án phát hành và phương án sử dụng vốn thu được từ đợt chào bán được Đại hội đồng cổ đông thông qua.</w:t>
      </w:r>
    </w:p>
    <w:p w14:paraId="4494243E" w14:textId="00D2F15B" w:rsidR="000639BE" w:rsidRPr="000639BE" w:rsidRDefault="000639BE" w:rsidP="00873BAF">
      <w:pPr>
        <w:pStyle w:val="ListParagraph"/>
        <w:numPr>
          <w:ilvl w:val="0"/>
          <w:numId w:val="19"/>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Quy định: </w:t>
      </w:r>
      <w:r w:rsidRPr="00D622D7">
        <w:rPr>
          <w:rFonts w:ascii="Times New Roman" w:hAnsi="Times New Roman" w:cs="Times New Roman"/>
          <w:color w:val="202124"/>
          <w:shd w:val="clear" w:color="auto" w:fill="FFFFFF"/>
          <w:lang w:val="vi-VN"/>
        </w:rPr>
        <w:t>Điều kiện chào bán cổ phiếu ra công chúng</w:t>
      </w:r>
    </w:p>
    <w:p w14:paraId="57258DAA" w14:textId="4BE8FF3A" w:rsidR="00495561" w:rsidRPr="00873BAF" w:rsidRDefault="00873BAF" w:rsidP="00873BAF">
      <w:pPr>
        <w:pStyle w:val="ListParagraph"/>
        <w:numPr>
          <w:ilvl w:val="0"/>
          <w:numId w:val="19"/>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lang w:val="vi-VN"/>
        </w:rPr>
        <w:t>a) Doanh nghiệp có mức vốn điều lệ đã góp tại thời điểm đăng ký chào bán từ mười tỷ đồng Việt Nam trở lên tính theo giá trị ghi trên sổ kế toán; b) Hoạt động kinh doanh của năm liền trước năm đăng ký chào bán phải có lãi, đồng thời không có lỗ luỹ kế tính đến năm đăng ký chào bán; c) Có phương án phát hành và phương án sử dụng vốn thu được từ đợt chào bán được Đại hội đồng cổ đông thông qua.</w:t>
      </w:r>
    </w:p>
    <w:p w14:paraId="67CFF0B4" w14:textId="77777777" w:rsidR="00A82381" w:rsidRPr="00873BAF" w:rsidRDefault="00A82381" w:rsidP="006004B3">
      <w:pPr>
        <w:pStyle w:val="ListParagraph"/>
        <w:numPr>
          <w:ilvl w:val="0"/>
          <w:numId w:val="1"/>
        </w:numPr>
        <w:spacing w:before="240" w:after="240" w:line="360" w:lineRule="auto"/>
        <w:rPr>
          <w:rFonts w:ascii="Times New Roman" w:hAnsi="Times New Roman" w:cs="Times New Roman"/>
        </w:rPr>
      </w:pPr>
      <w:r w:rsidRPr="00D622D7">
        <w:rPr>
          <w:rFonts w:ascii="Times New Roman" w:hAnsi="Times New Roman" w:cs="Times New Roman"/>
          <w:color w:val="202124"/>
          <w:shd w:val="clear" w:color="auto" w:fill="FFFFFF"/>
          <w:lang w:val="vi-VN"/>
        </w:rPr>
        <w:t xml:space="preserve">Trường hợp bên có nghĩa vụ không thể thực hiện được một phần hoặc toàn bộ nghĩa vụ của mình làm cho mục đích của bên có quyền không thể đạt được thì bên có quyền có thể hủy bỏ hợp đồng và yêu cầu bồi thường thiệt hại. </w:t>
      </w:r>
      <w:r w:rsidRPr="00D622D7">
        <w:rPr>
          <w:rFonts w:ascii="Times New Roman" w:hAnsi="Times New Roman" w:cs="Times New Roman"/>
          <w:color w:val="202124"/>
          <w:shd w:val="clear" w:color="auto" w:fill="FFFFFF"/>
        </w:rPr>
        <w:t>(Điều 425 BLDS 2015)</w:t>
      </w:r>
    </w:p>
    <w:p w14:paraId="2F5339D0" w14:textId="0C7E8E87" w:rsidR="00873BAF" w:rsidRPr="00873BAF" w:rsidRDefault="00873BAF" w:rsidP="00873BAF">
      <w:pPr>
        <w:pStyle w:val="ListParagraph"/>
        <w:numPr>
          <w:ilvl w:val="0"/>
          <w:numId w:val="19"/>
        </w:numPr>
        <w:spacing w:before="240" w:after="240" w:line="360" w:lineRule="auto"/>
        <w:rPr>
          <w:rFonts w:ascii="Times New Roman" w:hAnsi="Times New Roman" w:cs="Times New Roman"/>
        </w:rPr>
      </w:pPr>
      <w:r>
        <w:rPr>
          <w:rFonts w:ascii="Times New Roman" w:hAnsi="Times New Roman" w:cs="Times New Roman"/>
        </w:rPr>
        <w:t xml:space="preserve">Giả định: </w:t>
      </w:r>
      <w:r w:rsidRPr="00D622D7">
        <w:rPr>
          <w:rFonts w:ascii="Times New Roman" w:hAnsi="Times New Roman" w:cs="Times New Roman"/>
          <w:color w:val="202124"/>
          <w:shd w:val="clear" w:color="auto" w:fill="FFFFFF"/>
          <w:lang w:val="vi-VN"/>
        </w:rPr>
        <w:t>Trường hợp bên có nghĩa vụ không thể thực hiện được một phần hoặc toàn bộ nghĩa vụ của mình làm cho mục đích của bên có quyền không thể đạt được</w:t>
      </w:r>
    </w:p>
    <w:p w14:paraId="09FAAFDA" w14:textId="0FB7BD0A" w:rsidR="00873BAF" w:rsidRPr="00D622D7" w:rsidRDefault="00873BAF" w:rsidP="00873BAF">
      <w:pPr>
        <w:pStyle w:val="ListParagraph"/>
        <w:numPr>
          <w:ilvl w:val="0"/>
          <w:numId w:val="19"/>
        </w:numPr>
        <w:spacing w:before="240" w:after="240" w:line="360" w:lineRule="auto"/>
        <w:rPr>
          <w:rFonts w:ascii="Times New Roman" w:hAnsi="Times New Roman" w:cs="Times New Roman"/>
        </w:rPr>
      </w:pPr>
      <w:r>
        <w:rPr>
          <w:rFonts w:ascii="Times New Roman" w:hAnsi="Times New Roman" w:cs="Times New Roman"/>
          <w:color w:val="202124"/>
          <w:shd w:val="clear" w:color="auto" w:fill="FFFFFF"/>
        </w:rPr>
        <w:t xml:space="preserve">Quy định: </w:t>
      </w:r>
      <w:r w:rsidRPr="00D622D7">
        <w:rPr>
          <w:rFonts w:ascii="Times New Roman" w:hAnsi="Times New Roman" w:cs="Times New Roman"/>
          <w:color w:val="202124"/>
          <w:shd w:val="clear" w:color="auto" w:fill="FFFFFF"/>
          <w:lang w:val="vi-VN"/>
        </w:rPr>
        <w:t>thì bên có quyền có thể hủy bỏ hợp đồng và yêu cầu bồi thường thiệt hại</w:t>
      </w:r>
    </w:p>
    <w:p w14:paraId="2F521BBC" w14:textId="54BED5DB" w:rsidR="00A82381" w:rsidRPr="00873BAF"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rPr>
      </w:pPr>
      <w:r w:rsidRPr="00D622D7">
        <w:rPr>
          <w:rFonts w:ascii="Times New Roman" w:hAnsi="Times New Roman" w:cs="Times New Roman"/>
          <w:color w:val="202124"/>
          <w:shd w:val="clear" w:color="auto" w:fill="FFFFFF"/>
        </w:rPr>
        <w:t>Người</w:t>
      </w:r>
      <w:r w:rsidRPr="00D622D7">
        <w:rPr>
          <w:rFonts w:ascii="Times New Roman" w:hAnsi="Times New Roman" w:cs="Times New Roman"/>
          <w:color w:val="202124"/>
          <w:shd w:val="clear" w:color="auto" w:fill="FFFFFF"/>
          <w:lang w:val="vi-VN"/>
        </w:rPr>
        <w:t xml:space="preserve"> nào chịu trách nhiệm trực tiếp về việc điều động hoặc về tình trạng kỹ thuật mà cho phép đưa vào sử dụng tàu bay, thiết bị bảo đảm hoạt động bay rõ ràng không bảo đảm an toàn kỹ thuật, thì bị phạt tù từ 1 năm đến 5 năm (Điều 262, Bộ luật Hình sự 2015, sửa đổi bổ sung 2017).</w:t>
      </w:r>
    </w:p>
    <w:p w14:paraId="0C7825C3" w14:textId="33B3117C" w:rsidR="00873BAF" w:rsidRPr="00873BAF" w:rsidRDefault="00873BAF" w:rsidP="00873BAF">
      <w:pPr>
        <w:pStyle w:val="ListParagraph"/>
        <w:numPr>
          <w:ilvl w:val="0"/>
          <w:numId w:val="20"/>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rPr>
        <w:t>Người</w:t>
      </w:r>
      <w:r w:rsidRPr="00D622D7">
        <w:rPr>
          <w:rFonts w:ascii="Times New Roman" w:hAnsi="Times New Roman" w:cs="Times New Roman"/>
          <w:color w:val="202124"/>
          <w:shd w:val="clear" w:color="auto" w:fill="FFFFFF"/>
          <w:lang w:val="vi-VN"/>
        </w:rPr>
        <w:t xml:space="preserve"> nào chịu trách nhiệm trực tiếp về việc điều động hoặc về tình trạng kỹ thuật mà cho phép đưa vào sử dụng tàu bay, thiết bị bảo đảm hoạt động bay rõ ràng không bảo đảm an toàn kỹ thuật,</w:t>
      </w:r>
    </w:p>
    <w:p w14:paraId="16FF8893" w14:textId="1BB4F8CB" w:rsidR="00873BAF" w:rsidRPr="00D622D7" w:rsidRDefault="00873BAF" w:rsidP="00873BAF">
      <w:pPr>
        <w:pStyle w:val="ListParagraph"/>
        <w:numPr>
          <w:ilvl w:val="0"/>
          <w:numId w:val="20"/>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Chế tài: </w:t>
      </w:r>
      <w:r w:rsidRPr="00D622D7">
        <w:rPr>
          <w:rFonts w:ascii="Times New Roman" w:hAnsi="Times New Roman" w:cs="Times New Roman"/>
          <w:color w:val="202124"/>
          <w:shd w:val="clear" w:color="auto" w:fill="FFFFFF"/>
          <w:lang w:val="vi-VN"/>
        </w:rPr>
        <w:t>thì bị phạt tù từ 1 năm đến 5 năm</w:t>
      </w:r>
    </w:p>
    <w:p w14:paraId="7BFEB5D0" w14:textId="08B93D4B" w:rsidR="00A82381" w:rsidRPr="00873BAF"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rPr>
      </w:pPr>
      <w:r w:rsidRPr="00D622D7">
        <w:rPr>
          <w:rFonts w:ascii="Times New Roman" w:hAnsi="Times New Roman" w:cs="Times New Roman"/>
          <w:color w:val="202124"/>
          <w:shd w:val="clear" w:color="auto" w:fill="FFFFFF"/>
        </w:rPr>
        <w:lastRenderedPageBreak/>
        <w:t>Khi</w:t>
      </w:r>
      <w:r w:rsidRPr="00D622D7">
        <w:rPr>
          <w:rFonts w:ascii="Times New Roman" w:hAnsi="Times New Roman" w:cs="Times New Roman"/>
          <w:color w:val="202124"/>
          <w:shd w:val="clear" w:color="auto" w:fill="FFFFFF"/>
          <w:lang w:val="vi-VN"/>
        </w:rPr>
        <w:t xml:space="preserve"> bên có quyền chậm tiếp nhận đối tượng của nghĩa vụ là tài sản thì nghĩa vụ hoàn thành tại thời điểm tài sản đã được gửi giữ tại nơi nhận gửi giữ theo quy định khoản 2 Điều 355 của Bộ luật này.</w:t>
      </w:r>
    </w:p>
    <w:p w14:paraId="4EB82964" w14:textId="77777777" w:rsidR="00873BAF" w:rsidRPr="00873BAF" w:rsidRDefault="00873BAF" w:rsidP="00873BAF">
      <w:pPr>
        <w:pStyle w:val="ListParagraph"/>
        <w:numPr>
          <w:ilvl w:val="0"/>
          <w:numId w:val="21"/>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rPr>
        <w:t>Khi</w:t>
      </w:r>
      <w:r w:rsidRPr="00D622D7">
        <w:rPr>
          <w:rFonts w:ascii="Times New Roman" w:hAnsi="Times New Roman" w:cs="Times New Roman"/>
          <w:color w:val="202124"/>
          <w:shd w:val="clear" w:color="auto" w:fill="FFFFFF"/>
          <w:lang w:val="vi-VN"/>
        </w:rPr>
        <w:t xml:space="preserve"> bên có quyền chậm tiếp nhận đối tượng của nghĩa vụ là tài sản</w:t>
      </w:r>
    </w:p>
    <w:p w14:paraId="5BE633ED" w14:textId="6018D335" w:rsidR="00873BAF" w:rsidRPr="00873BAF" w:rsidRDefault="00873BAF" w:rsidP="00873BAF">
      <w:pPr>
        <w:pStyle w:val="ListParagraph"/>
        <w:numPr>
          <w:ilvl w:val="0"/>
          <w:numId w:val="21"/>
        </w:numPr>
        <w:spacing w:before="240" w:after="240" w:line="360" w:lineRule="auto"/>
        <w:rPr>
          <w:rFonts w:ascii="Times New Roman" w:hAnsi="Times New Roman" w:cs="Times New Roman"/>
          <w:color w:val="202124"/>
          <w:shd w:val="clear" w:color="auto" w:fill="FFFFFF"/>
        </w:rPr>
      </w:pPr>
      <w:r w:rsidRPr="00873BAF">
        <w:rPr>
          <w:rFonts w:ascii="Times New Roman" w:hAnsi="Times New Roman" w:cs="Times New Roman"/>
          <w:color w:val="202124"/>
          <w:shd w:val="clear" w:color="auto" w:fill="FFFFFF"/>
        </w:rPr>
        <w:t>Quy định:</w:t>
      </w:r>
      <w:r w:rsidRPr="00873BAF">
        <w:rPr>
          <w:rFonts w:ascii="Times New Roman" w:hAnsi="Times New Roman" w:cs="Times New Roman"/>
          <w:color w:val="202124"/>
          <w:shd w:val="clear" w:color="auto" w:fill="FFFFFF"/>
          <w:lang w:val="vi-VN"/>
        </w:rPr>
        <w:t xml:space="preserve"> thì nghĩa vụ hoàn thành tại thời điểm tài sản đã được gửi giữ tại nơi nhận gửi giữ theo quy định khoản 2 Điều 355 của Bộ luật này.</w:t>
      </w:r>
    </w:p>
    <w:p w14:paraId="7591E771" w14:textId="77777777" w:rsidR="00A82381" w:rsidRPr="00873BAF"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rPr>
      </w:pPr>
      <w:r w:rsidRPr="00D622D7">
        <w:rPr>
          <w:rFonts w:ascii="Times New Roman" w:hAnsi="Times New Roman" w:cs="Times New Roman"/>
          <w:color w:val="202124"/>
          <w:shd w:val="clear" w:color="auto" w:fill="FFFFFF"/>
        </w:rPr>
        <w:t>Quyền</w:t>
      </w:r>
      <w:r w:rsidRPr="00D622D7">
        <w:rPr>
          <w:rFonts w:ascii="Times New Roman" w:hAnsi="Times New Roman" w:cs="Times New Roman"/>
          <w:color w:val="202124"/>
          <w:shd w:val="clear" w:color="auto" w:fill="FFFFFF"/>
          <w:lang w:val="vi-VN"/>
        </w:rPr>
        <w:t xml:space="preserve"> con người, quyền công dân chỉ có thể bị hạn chế theo quy định của luật trong trường hợp cần thiết vì lý do quốc phòng, an ninh quốc gia, trật tự, an toàn xã hội, đạo đức xã hội, sức khoẻ của cộng đồng (Điều 14 Hiến pháp 2013).</w:t>
      </w:r>
    </w:p>
    <w:p w14:paraId="409F5F5E" w14:textId="750CA00B" w:rsidR="00873BAF" w:rsidRPr="000639BE" w:rsidRDefault="000639BE" w:rsidP="00873BAF">
      <w:pPr>
        <w:pStyle w:val="ListParagraph"/>
        <w:numPr>
          <w:ilvl w:val="0"/>
          <w:numId w:val="22"/>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Quy định: </w:t>
      </w:r>
      <w:r w:rsidRPr="00D622D7">
        <w:rPr>
          <w:rFonts w:ascii="Times New Roman" w:hAnsi="Times New Roman" w:cs="Times New Roman"/>
          <w:color w:val="202124"/>
          <w:shd w:val="clear" w:color="auto" w:fill="FFFFFF"/>
        </w:rPr>
        <w:t>Quyền</w:t>
      </w:r>
      <w:r w:rsidRPr="00D622D7">
        <w:rPr>
          <w:rFonts w:ascii="Times New Roman" w:hAnsi="Times New Roman" w:cs="Times New Roman"/>
          <w:color w:val="202124"/>
          <w:shd w:val="clear" w:color="auto" w:fill="FFFFFF"/>
          <w:lang w:val="vi-VN"/>
        </w:rPr>
        <w:t xml:space="preserve"> con người, quyền công dân chỉ có thể bị hạn chế theo quy định của luật</w:t>
      </w:r>
    </w:p>
    <w:p w14:paraId="31966C6C" w14:textId="33E4DD18" w:rsidR="000639BE" w:rsidRPr="00D622D7" w:rsidRDefault="000639BE" w:rsidP="00873BAF">
      <w:pPr>
        <w:pStyle w:val="ListParagraph"/>
        <w:numPr>
          <w:ilvl w:val="0"/>
          <w:numId w:val="22"/>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lang w:val="vi-VN"/>
        </w:rPr>
        <w:t>luật trong trường hợp cần thiết vì lý do quốc phòng, an ninh quốc gia, trật tự, an toàn xã hội, đạo đức xã hội, sức khoẻ của cộng đồng</w:t>
      </w:r>
    </w:p>
    <w:p w14:paraId="7968D60E" w14:textId="6E02A35A" w:rsidR="00A82381" w:rsidRPr="000639BE"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rPr>
      </w:pPr>
      <w:r w:rsidRPr="00D622D7">
        <w:rPr>
          <w:rFonts w:ascii="Times New Roman" w:hAnsi="Times New Roman" w:cs="Times New Roman"/>
          <w:color w:val="202124"/>
          <w:shd w:val="clear" w:color="auto" w:fill="FFFFFF"/>
        </w:rPr>
        <w:t>Người</w:t>
      </w:r>
      <w:r w:rsidRPr="00D622D7">
        <w:rPr>
          <w:rFonts w:ascii="Times New Roman" w:hAnsi="Times New Roman" w:cs="Times New Roman"/>
          <w:color w:val="202124"/>
          <w:shd w:val="clear" w:color="auto" w:fill="FFFFFF"/>
          <w:lang w:val="vi-VN"/>
        </w:rPr>
        <w:t xml:space="preserve"> nào rủ rê, dụ dỗ, xúi giục hoặc bằng các thủ đoạn khác nhằm lôi kéo người khác sử dụng trái phép chất ma tuý, thì bị phạt tù từ 1 năm đến 5 năm.</w:t>
      </w:r>
    </w:p>
    <w:p w14:paraId="524BC88B" w14:textId="242CBA8D" w:rsidR="000639BE" w:rsidRPr="000639BE" w:rsidRDefault="000639BE" w:rsidP="000639BE">
      <w:pPr>
        <w:pStyle w:val="ListParagraph"/>
        <w:numPr>
          <w:ilvl w:val="0"/>
          <w:numId w:val="23"/>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rPr>
        <w:t>Người</w:t>
      </w:r>
      <w:r w:rsidRPr="00D622D7">
        <w:rPr>
          <w:rFonts w:ascii="Times New Roman" w:hAnsi="Times New Roman" w:cs="Times New Roman"/>
          <w:color w:val="202124"/>
          <w:shd w:val="clear" w:color="auto" w:fill="FFFFFF"/>
          <w:lang w:val="vi-VN"/>
        </w:rPr>
        <w:t xml:space="preserve"> nào rủ rê, dụ dỗ, xúi giục hoặc bằng các thủ đoạn khác nhằm lôi kéo người khác sử dụng trái phép chất ma tuý</w:t>
      </w:r>
    </w:p>
    <w:p w14:paraId="3344BA0E" w14:textId="1481FD54" w:rsidR="000639BE" w:rsidRPr="00D622D7" w:rsidRDefault="000639BE" w:rsidP="000639BE">
      <w:pPr>
        <w:pStyle w:val="ListParagraph"/>
        <w:numPr>
          <w:ilvl w:val="0"/>
          <w:numId w:val="23"/>
        </w:numPr>
        <w:spacing w:before="240" w:after="240" w:line="36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Chế tài: </w:t>
      </w:r>
      <w:r w:rsidRPr="00D622D7">
        <w:rPr>
          <w:rFonts w:ascii="Times New Roman" w:hAnsi="Times New Roman" w:cs="Times New Roman"/>
          <w:color w:val="202124"/>
          <w:shd w:val="clear" w:color="auto" w:fill="FFFFFF"/>
          <w:lang w:val="vi-VN"/>
        </w:rPr>
        <w:t>thì bị phạt tù từ 1 năm đến 5 năm</w:t>
      </w:r>
    </w:p>
    <w:p w14:paraId="45E8C89A" w14:textId="77777777" w:rsidR="00A82381" w:rsidRPr="00D622D7"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rPr>
      </w:pPr>
      <w:r w:rsidRPr="00D622D7">
        <w:rPr>
          <w:rFonts w:ascii="Times New Roman" w:hAnsi="Times New Roman" w:cs="Times New Roman"/>
          <w:color w:val="202124"/>
          <w:shd w:val="clear" w:color="auto" w:fill="FFFFFF"/>
        </w:rPr>
        <w:t>Phạm</w:t>
      </w:r>
      <w:r w:rsidRPr="00D622D7">
        <w:rPr>
          <w:rFonts w:ascii="Times New Roman" w:hAnsi="Times New Roman" w:cs="Times New Roman"/>
          <w:color w:val="202124"/>
          <w:shd w:val="clear" w:color="auto" w:fill="FFFFFF"/>
          <w:lang w:val="vi-VN"/>
        </w:rPr>
        <w:t xml:space="preserve"> tội thuộc một trong các trường hợp sau đây, thì bị phạt tù từ 5 năm đến 10 năm:</w:t>
      </w:r>
    </w:p>
    <w:p w14:paraId="0E649CFB" w14:textId="77777777" w:rsidR="00A82381" w:rsidRPr="00D622D7" w:rsidRDefault="00A82381" w:rsidP="006004B3">
      <w:pPr>
        <w:pStyle w:val="ListParagraph"/>
        <w:numPr>
          <w:ilvl w:val="0"/>
          <w:numId w:val="2"/>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Có tổ chức.</w:t>
      </w:r>
    </w:p>
    <w:p w14:paraId="44E70547" w14:textId="77777777" w:rsidR="00A82381" w:rsidRPr="00D622D7" w:rsidRDefault="00A82381" w:rsidP="006004B3">
      <w:pPr>
        <w:pStyle w:val="ListParagraph"/>
        <w:numPr>
          <w:ilvl w:val="0"/>
          <w:numId w:val="2"/>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Phạm tội 02 lần trở lên.</w:t>
      </w:r>
    </w:p>
    <w:p w14:paraId="6DC24231" w14:textId="77777777" w:rsidR="00A82381" w:rsidRPr="00D622D7" w:rsidRDefault="00A82381" w:rsidP="006004B3">
      <w:pPr>
        <w:pStyle w:val="ListParagraph"/>
        <w:numPr>
          <w:ilvl w:val="0"/>
          <w:numId w:val="2"/>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Vì động cơ đê hèn hoặc vì tư lợi.</w:t>
      </w:r>
    </w:p>
    <w:p w14:paraId="507243FE" w14:textId="77777777" w:rsidR="00A82381" w:rsidRPr="00D622D7" w:rsidRDefault="00A82381" w:rsidP="006004B3">
      <w:pPr>
        <w:pStyle w:val="ListParagraph"/>
        <w:numPr>
          <w:ilvl w:val="0"/>
          <w:numId w:val="2"/>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Đối với người từ đủ 13 tuổi đến dưới 18 tuổi.</w:t>
      </w:r>
    </w:p>
    <w:p w14:paraId="4AA73A38" w14:textId="77777777" w:rsidR="00A82381" w:rsidRDefault="00A82381" w:rsidP="006004B3">
      <w:pPr>
        <w:pStyle w:val="ListParagraph"/>
        <w:numPr>
          <w:ilvl w:val="0"/>
          <w:numId w:val="2"/>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Đối với phụ nữ mà biết là có thai.</w:t>
      </w:r>
    </w:p>
    <w:p w14:paraId="14CE7CEA" w14:textId="77D96A0A" w:rsidR="000639BE" w:rsidRDefault="000639BE" w:rsidP="000639BE">
      <w:pPr>
        <w:pStyle w:val="ListParagraph"/>
        <w:numPr>
          <w:ilvl w:val="0"/>
          <w:numId w:val="24"/>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Quy định: </w:t>
      </w:r>
      <w:r w:rsidRPr="00D622D7">
        <w:rPr>
          <w:rFonts w:ascii="Times New Roman" w:hAnsi="Times New Roman" w:cs="Times New Roman"/>
          <w:color w:val="202124"/>
          <w:shd w:val="clear" w:color="auto" w:fill="FFFFFF"/>
        </w:rPr>
        <w:t>Phạm</w:t>
      </w:r>
      <w:r w:rsidRPr="00D622D7">
        <w:rPr>
          <w:rFonts w:ascii="Times New Roman" w:hAnsi="Times New Roman" w:cs="Times New Roman"/>
          <w:color w:val="202124"/>
          <w:shd w:val="clear" w:color="auto" w:fill="FFFFFF"/>
          <w:lang w:val="vi-VN"/>
        </w:rPr>
        <w:t xml:space="preserve"> tội thuộc một trong các trường hợp sau đây,</w:t>
      </w:r>
    </w:p>
    <w:p w14:paraId="51CEF6C5" w14:textId="77777777" w:rsidR="000639BE" w:rsidRPr="00D622D7" w:rsidRDefault="000639BE" w:rsidP="000639BE">
      <w:pPr>
        <w:pStyle w:val="ListParagraph"/>
        <w:numPr>
          <w:ilvl w:val="0"/>
          <w:numId w:val="25"/>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Có tổ chức.</w:t>
      </w:r>
    </w:p>
    <w:p w14:paraId="0BDDD097" w14:textId="77777777" w:rsidR="000639BE" w:rsidRPr="00D622D7" w:rsidRDefault="000639BE" w:rsidP="000639BE">
      <w:pPr>
        <w:pStyle w:val="ListParagraph"/>
        <w:numPr>
          <w:ilvl w:val="0"/>
          <w:numId w:val="25"/>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Phạm tội 02 lần trở lên.</w:t>
      </w:r>
    </w:p>
    <w:p w14:paraId="5797EF58" w14:textId="77777777" w:rsidR="000639BE" w:rsidRPr="00D622D7" w:rsidRDefault="000639BE" w:rsidP="000639BE">
      <w:pPr>
        <w:pStyle w:val="ListParagraph"/>
        <w:numPr>
          <w:ilvl w:val="0"/>
          <w:numId w:val="25"/>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Vì động cơ đê hèn hoặc vì tư lợi.</w:t>
      </w:r>
    </w:p>
    <w:p w14:paraId="7AC5EF89" w14:textId="77777777" w:rsidR="000639BE" w:rsidRPr="00D622D7" w:rsidRDefault="000639BE" w:rsidP="000639BE">
      <w:pPr>
        <w:pStyle w:val="ListParagraph"/>
        <w:numPr>
          <w:ilvl w:val="0"/>
          <w:numId w:val="25"/>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Đối với người từ đủ 13 tuổi đến dưới 18 tuổi.</w:t>
      </w:r>
    </w:p>
    <w:p w14:paraId="1683628B" w14:textId="77777777" w:rsidR="000639BE" w:rsidRDefault="000639BE" w:rsidP="000639BE">
      <w:pPr>
        <w:pStyle w:val="ListParagraph"/>
        <w:numPr>
          <w:ilvl w:val="0"/>
          <w:numId w:val="25"/>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Đối với phụ nữ mà biết là có thai.</w:t>
      </w:r>
    </w:p>
    <w:p w14:paraId="7C83B877" w14:textId="0D0EEA20" w:rsidR="000639BE" w:rsidRPr="000639BE" w:rsidRDefault="000639BE" w:rsidP="000639BE">
      <w:pPr>
        <w:pStyle w:val="ListParagraph"/>
        <w:numPr>
          <w:ilvl w:val="0"/>
          <w:numId w:val="24"/>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Chế tài: </w:t>
      </w:r>
      <w:r w:rsidRPr="00D622D7">
        <w:rPr>
          <w:rFonts w:ascii="Times New Roman" w:hAnsi="Times New Roman" w:cs="Times New Roman"/>
          <w:color w:val="202124"/>
          <w:shd w:val="clear" w:color="auto" w:fill="FFFFFF"/>
          <w:lang w:val="vi-VN"/>
        </w:rPr>
        <w:t>thì bị phạt tù từ 5 năm đến 10 năm</w:t>
      </w:r>
    </w:p>
    <w:p w14:paraId="0C71531C" w14:textId="77777777" w:rsidR="00A82381"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lastRenderedPageBreak/>
        <w:t>Không ai bị bắt nếu không có quyết định của Toà án nhân dân, quyết định hoặc phê chuẩn của Viện Kiểm sát nhân dân trừ trường hợp phạm tội quả tang. Việc bắt, giam, giữ người do luật định (Điều 20 Hiến pháp 2013).</w:t>
      </w:r>
    </w:p>
    <w:p w14:paraId="1D23AE1E" w14:textId="77777777" w:rsidR="000639BE" w:rsidRPr="000639BE" w:rsidRDefault="000639BE" w:rsidP="000639BE">
      <w:pPr>
        <w:pStyle w:val="ListParagraph"/>
        <w:numPr>
          <w:ilvl w:val="0"/>
          <w:numId w:val="24"/>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Quy định:</w:t>
      </w:r>
    </w:p>
    <w:p w14:paraId="65E26FE7" w14:textId="526238A3" w:rsidR="000639BE" w:rsidRDefault="000639BE" w:rsidP="000639BE">
      <w:pPr>
        <w:pStyle w:val="ListParagraph"/>
        <w:numPr>
          <w:ilvl w:val="1"/>
          <w:numId w:val="24"/>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Không ai bị bắt nếu không có quyết định của Toà án nhân dân, quyết định hoặc phê chuẩn của Viện Kiểm sát nhân dân</w:t>
      </w:r>
    </w:p>
    <w:p w14:paraId="7A62F8F4" w14:textId="63961B8F" w:rsidR="000639BE" w:rsidRDefault="000639BE" w:rsidP="000639BE">
      <w:pPr>
        <w:pStyle w:val="ListParagraph"/>
        <w:numPr>
          <w:ilvl w:val="1"/>
          <w:numId w:val="24"/>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Việc bắt, giam, giữ người do luật định</w:t>
      </w:r>
    </w:p>
    <w:p w14:paraId="3612881F" w14:textId="5B40F343" w:rsidR="000639BE" w:rsidRPr="00D622D7" w:rsidRDefault="000639BE" w:rsidP="000639BE">
      <w:pPr>
        <w:pStyle w:val="ListParagraph"/>
        <w:numPr>
          <w:ilvl w:val="0"/>
          <w:numId w:val="24"/>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lang w:val="vi-VN"/>
        </w:rPr>
        <w:t>trừ trường hợp phạm tội quả tang</w:t>
      </w:r>
    </w:p>
    <w:p w14:paraId="728E07B3" w14:textId="77777777" w:rsidR="00A82381"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Việc cầm cố bị huỷ bỏ nếu được bên nhận cầm cố đồng ý (Điều 304 Bộ luật Dân sự 2015).</w:t>
      </w:r>
    </w:p>
    <w:p w14:paraId="3E3ADA0A" w14:textId="0F1EDAF7" w:rsidR="000639BE" w:rsidRDefault="000639BE" w:rsidP="000639BE">
      <w:pPr>
        <w:pStyle w:val="ListParagraph"/>
        <w:numPr>
          <w:ilvl w:val="0"/>
          <w:numId w:val="26"/>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Quy định: </w:t>
      </w:r>
      <w:r w:rsidRPr="00D622D7">
        <w:rPr>
          <w:rFonts w:ascii="Times New Roman" w:hAnsi="Times New Roman" w:cs="Times New Roman"/>
          <w:color w:val="202124"/>
          <w:shd w:val="clear" w:color="auto" w:fill="FFFFFF"/>
          <w:lang w:val="vi-VN"/>
        </w:rPr>
        <w:t>Việc cầm cố bị huỷ bỏ</w:t>
      </w:r>
    </w:p>
    <w:p w14:paraId="2BACCE94" w14:textId="7C971962" w:rsidR="000639BE" w:rsidRPr="00D622D7" w:rsidRDefault="000639BE" w:rsidP="000639BE">
      <w:pPr>
        <w:pStyle w:val="ListParagraph"/>
        <w:numPr>
          <w:ilvl w:val="0"/>
          <w:numId w:val="26"/>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lang w:val="vi-VN"/>
        </w:rPr>
        <w:t>nếu được bên nhận cầm cố đồng ý</w:t>
      </w:r>
    </w:p>
    <w:p w14:paraId="4DCA5683" w14:textId="77777777" w:rsidR="00A82381"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Phạt tiền từ 5.000.000 đến 10.000.000 đồng đối với nhà đầu tư có hành vi đầu tư kinh doanh vốn nhà nước khi chưa được cơ quan nhà nước có thẩm quyền thẩm định chấp thuận sử dụng vốn nhà nước để đầu tư (Khoản 1, Điều 23 Nghị định 53/2007/ NĐ- CP).</w:t>
      </w:r>
    </w:p>
    <w:p w14:paraId="5439A960" w14:textId="322E3546" w:rsidR="000639BE" w:rsidRDefault="000639BE" w:rsidP="000639BE">
      <w:pPr>
        <w:pStyle w:val="ListParagraph"/>
        <w:numPr>
          <w:ilvl w:val="0"/>
          <w:numId w:val="27"/>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Chế tài: </w:t>
      </w:r>
      <w:r w:rsidRPr="00D622D7">
        <w:rPr>
          <w:rFonts w:ascii="Times New Roman" w:hAnsi="Times New Roman" w:cs="Times New Roman"/>
          <w:color w:val="202124"/>
          <w:shd w:val="clear" w:color="auto" w:fill="FFFFFF"/>
          <w:lang w:val="vi-VN"/>
        </w:rPr>
        <w:t>Phạt tiền từ 5.000.000 đến 10.000.000 đồng</w:t>
      </w:r>
    </w:p>
    <w:p w14:paraId="7358351D" w14:textId="3A1EEE77" w:rsidR="000639BE" w:rsidRPr="00D622D7" w:rsidRDefault="000639BE" w:rsidP="000639BE">
      <w:pPr>
        <w:pStyle w:val="ListParagraph"/>
        <w:numPr>
          <w:ilvl w:val="0"/>
          <w:numId w:val="27"/>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Giả định: </w:t>
      </w:r>
      <w:r w:rsidR="001029B2" w:rsidRPr="00D622D7">
        <w:rPr>
          <w:rFonts w:ascii="Times New Roman" w:hAnsi="Times New Roman" w:cs="Times New Roman"/>
          <w:color w:val="202124"/>
          <w:shd w:val="clear" w:color="auto" w:fill="FFFFFF"/>
          <w:lang w:val="vi-VN"/>
        </w:rPr>
        <w:t>nhà đầu tư có hành vi đầu tư kinh doanh vốn nhà nước khi chưa được cơ quan nhà nước có thẩm quyền thẩm định chấp thuận sử dụng vốn nhà nước để đầu tư</w:t>
      </w:r>
    </w:p>
    <w:p w14:paraId="6665BC6D" w14:textId="77777777" w:rsidR="00A82381" w:rsidRPr="00D622D7"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Nội dung năng lực pháp luật dân sự của cá nhân:</w:t>
      </w:r>
    </w:p>
    <w:p w14:paraId="67FA7D75" w14:textId="77777777" w:rsidR="00A82381" w:rsidRPr="00D622D7" w:rsidRDefault="00A82381" w:rsidP="006004B3">
      <w:pPr>
        <w:pStyle w:val="ListParagraph"/>
        <w:numPr>
          <w:ilvl w:val="0"/>
          <w:numId w:val="3"/>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Quyền nhân thân không gắn với tài sản và quyền nhân thân gắn với tài sản</w:t>
      </w:r>
    </w:p>
    <w:p w14:paraId="0FABE5DF" w14:textId="77777777" w:rsidR="00A82381" w:rsidRPr="00D622D7" w:rsidRDefault="00A82381" w:rsidP="006004B3">
      <w:pPr>
        <w:pStyle w:val="ListParagraph"/>
        <w:numPr>
          <w:ilvl w:val="0"/>
          <w:numId w:val="3"/>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Quyền sở hữu, quyền thừa kế và quyền khác đối với thừa kế</w:t>
      </w:r>
    </w:p>
    <w:p w14:paraId="509E52DC" w14:textId="77777777" w:rsidR="00A82381" w:rsidRDefault="00A82381" w:rsidP="006004B3">
      <w:pPr>
        <w:pStyle w:val="ListParagraph"/>
        <w:numPr>
          <w:ilvl w:val="0"/>
          <w:numId w:val="3"/>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Quyền tham gia quan hệ dân sự và có nghĩa vụ phát sinh từ quan hệ đó (Điều 17, Bộ luật Dân sự 2015).</w:t>
      </w:r>
    </w:p>
    <w:p w14:paraId="0ABB5168" w14:textId="6B4436F0" w:rsidR="001029B2" w:rsidRPr="001029B2" w:rsidRDefault="001029B2" w:rsidP="001029B2">
      <w:pPr>
        <w:pStyle w:val="ListParagraph"/>
        <w:numPr>
          <w:ilvl w:val="0"/>
          <w:numId w:val="28"/>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Quy định:</w:t>
      </w:r>
    </w:p>
    <w:p w14:paraId="75BF7C90" w14:textId="77777777" w:rsidR="001029B2" w:rsidRPr="00D622D7" w:rsidRDefault="001029B2" w:rsidP="001029B2">
      <w:pPr>
        <w:pStyle w:val="ListParagraph"/>
        <w:numPr>
          <w:ilvl w:val="0"/>
          <w:numId w:val="29"/>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Quyền nhân thân không gắn với tài sản và quyền nhân thân gắn với tài sản</w:t>
      </w:r>
    </w:p>
    <w:p w14:paraId="4E1AA8E8" w14:textId="77777777" w:rsidR="001029B2" w:rsidRPr="00D622D7" w:rsidRDefault="001029B2" w:rsidP="001029B2">
      <w:pPr>
        <w:pStyle w:val="ListParagraph"/>
        <w:numPr>
          <w:ilvl w:val="0"/>
          <w:numId w:val="29"/>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Quyền sở hữu, quyền thừa kế và quyền khác đối với thừa kế</w:t>
      </w:r>
    </w:p>
    <w:p w14:paraId="1C7AEBD8" w14:textId="07AC1082" w:rsidR="001029B2" w:rsidRPr="001029B2" w:rsidRDefault="001029B2" w:rsidP="001029B2">
      <w:pPr>
        <w:pStyle w:val="ListParagraph"/>
        <w:numPr>
          <w:ilvl w:val="0"/>
          <w:numId w:val="29"/>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Quyền tham gia quan hệ dân sự và có nghĩa vụ phát sinh từ quan hệ đó (Điều 17, Bộ luật Dân sự 2015).</w:t>
      </w:r>
    </w:p>
    <w:p w14:paraId="35DF8739" w14:textId="77777777" w:rsidR="001029B2" w:rsidRPr="001029B2" w:rsidRDefault="00A82381" w:rsidP="001029B2">
      <w:pPr>
        <w:pStyle w:val="ListParagraph"/>
        <w:numPr>
          <w:ilvl w:val="0"/>
          <w:numId w:val="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Mọi người có quyền bí mật thư tín, điện tín và các hình thức trao đổi thông tin riêng tư khác.</w:t>
      </w:r>
    </w:p>
    <w:p w14:paraId="232BE417" w14:textId="2A0529E1" w:rsidR="001029B2" w:rsidRPr="001029B2" w:rsidRDefault="00A82381" w:rsidP="001029B2">
      <w:pPr>
        <w:pStyle w:val="ListParagraph"/>
        <w:spacing w:before="240" w:after="240" w:line="360" w:lineRule="auto"/>
        <w:rPr>
          <w:rFonts w:ascii="Times New Roman" w:hAnsi="Times New Roman" w:cs="Times New Roman"/>
          <w:color w:val="202124"/>
          <w:shd w:val="clear" w:color="auto" w:fill="FFFFFF"/>
          <w:lang w:val="vi-VN"/>
        </w:rPr>
      </w:pPr>
      <w:r w:rsidRPr="001029B2">
        <w:rPr>
          <w:rFonts w:ascii="Times New Roman" w:hAnsi="Times New Roman" w:cs="Times New Roman"/>
          <w:color w:val="202124"/>
          <w:shd w:val="clear" w:color="auto" w:fill="FFFFFF"/>
          <w:lang w:val="vi-VN"/>
        </w:rPr>
        <w:lastRenderedPageBreak/>
        <w:t>Không ai được bốc mở, kiểm soát, thu giữ trái luật thư tín, điện thoại, điện tín và các hình thức trao đổi thông tin riêng tư của người khác (Hiến pháp 2013).</w:t>
      </w:r>
    </w:p>
    <w:p w14:paraId="3DA4656A" w14:textId="300CD4BB" w:rsidR="001029B2" w:rsidRPr="001029B2" w:rsidRDefault="001029B2" w:rsidP="001029B2">
      <w:pPr>
        <w:pStyle w:val="ListParagraph"/>
        <w:numPr>
          <w:ilvl w:val="0"/>
          <w:numId w:val="28"/>
        </w:numPr>
        <w:spacing w:before="240" w:after="240" w:line="360" w:lineRule="auto"/>
        <w:ind w:left="1440"/>
        <w:rPr>
          <w:rFonts w:ascii="Times New Roman" w:hAnsi="Times New Roman" w:cs="Times New Roman"/>
          <w:color w:val="202124"/>
          <w:shd w:val="clear" w:color="auto" w:fill="FFFFFF"/>
          <w:lang w:val="vi-VN"/>
        </w:rPr>
      </w:pPr>
      <w:r w:rsidRPr="001029B2">
        <w:rPr>
          <w:rFonts w:ascii="Times New Roman" w:hAnsi="Times New Roman" w:cs="Times New Roman"/>
          <w:color w:val="202124"/>
          <w:shd w:val="clear" w:color="auto" w:fill="FFFFFF"/>
        </w:rPr>
        <w:t xml:space="preserve">Quy định: </w:t>
      </w:r>
      <w:r w:rsidRPr="001029B2">
        <w:rPr>
          <w:rFonts w:ascii="Times New Roman" w:hAnsi="Times New Roman" w:cs="Times New Roman"/>
          <w:color w:val="202124"/>
          <w:shd w:val="clear" w:color="auto" w:fill="FFFFFF"/>
          <w:lang w:val="vi-VN"/>
        </w:rPr>
        <w:t>Mọi người có quyền bí mật thư tín, điện tín và các hình thức trao đổi thông tin riêng tư khác.</w:t>
      </w:r>
      <w:r>
        <w:rPr>
          <w:rFonts w:ascii="Times New Roman" w:hAnsi="Times New Roman" w:cs="Times New Roman"/>
          <w:color w:val="202124"/>
          <w:shd w:val="clear" w:color="auto" w:fill="FFFFFF"/>
        </w:rPr>
        <w:t xml:space="preserve"> </w:t>
      </w:r>
      <w:r w:rsidRPr="001029B2">
        <w:rPr>
          <w:rFonts w:ascii="Times New Roman" w:hAnsi="Times New Roman" w:cs="Times New Roman"/>
          <w:color w:val="202124"/>
          <w:shd w:val="clear" w:color="auto" w:fill="FFFFFF"/>
          <w:lang w:val="vi-VN"/>
        </w:rPr>
        <w:t>Không ai được bốc mở, kiểm soát, thu giữ trái luật thư tín, điện thoại, điện tín và các hình thức trao đổi thông tin riêng tư của người khác</w:t>
      </w:r>
      <w:r>
        <w:rPr>
          <w:rFonts w:ascii="Times New Roman" w:hAnsi="Times New Roman" w:cs="Times New Roman"/>
          <w:color w:val="202124"/>
          <w:shd w:val="clear" w:color="auto" w:fill="FFFFFF"/>
        </w:rPr>
        <w:t>.</w:t>
      </w:r>
    </w:p>
    <w:p w14:paraId="0BCF8A2B" w14:textId="5848C0ED" w:rsidR="00A82381" w:rsidRPr="00D622D7"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Mọi người có quyền bất khả xâm phạm về đời sống riêng tư, bí mật cá nhân và bí mật gia đình, có quyền bảo vệ danh dự, uy tín của mình.</w:t>
      </w:r>
    </w:p>
    <w:p w14:paraId="439711F2" w14:textId="0B4204B6" w:rsidR="001029B2" w:rsidRDefault="00A82381" w:rsidP="001029B2">
      <w:pPr>
        <w:pStyle w:val="ListParagraph"/>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 xml:space="preserve">Thông tin về đời sống riêng tư, bí mật cá nhân, bí mật gia đình được pháp luật bảo đảm </w:t>
      </w:r>
      <w:r w:rsidR="001029B2">
        <w:rPr>
          <w:rFonts w:ascii="Times New Roman" w:hAnsi="Times New Roman" w:cs="Times New Roman"/>
          <w:color w:val="202124"/>
          <w:shd w:val="clear" w:color="auto" w:fill="FFFFFF"/>
        </w:rPr>
        <w:t>a</w:t>
      </w:r>
      <w:r w:rsidRPr="00D622D7">
        <w:rPr>
          <w:rFonts w:ascii="Times New Roman" w:hAnsi="Times New Roman" w:cs="Times New Roman"/>
          <w:color w:val="202124"/>
          <w:shd w:val="clear" w:color="auto" w:fill="FFFFFF"/>
          <w:lang w:val="vi-VN"/>
        </w:rPr>
        <w:t>n toàn (Hiến pháp 2013).</w:t>
      </w:r>
    </w:p>
    <w:p w14:paraId="2107E521" w14:textId="091ECF54" w:rsidR="001029B2" w:rsidRPr="001029B2" w:rsidRDefault="001029B2" w:rsidP="001029B2">
      <w:pPr>
        <w:pStyle w:val="ListParagraph"/>
        <w:numPr>
          <w:ilvl w:val="0"/>
          <w:numId w:val="28"/>
        </w:numPr>
        <w:spacing w:before="240" w:after="240" w:line="360" w:lineRule="auto"/>
        <w:ind w:left="1440"/>
        <w:rPr>
          <w:rFonts w:ascii="Times New Roman" w:hAnsi="Times New Roman" w:cs="Times New Roman"/>
          <w:color w:val="202124"/>
          <w:shd w:val="clear" w:color="auto" w:fill="FFFFFF"/>
        </w:rPr>
      </w:pPr>
      <w:r w:rsidRPr="001029B2">
        <w:rPr>
          <w:rFonts w:ascii="Times New Roman" w:hAnsi="Times New Roman" w:cs="Times New Roman"/>
          <w:color w:val="202124"/>
          <w:shd w:val="clear" w:color="auto" w:fill="FFFFFF"/>
        </w:rPr>
        <w:t xml:space="preserve">Quy định: </w:t>
      </w:r>
      <w:r w:rsidRPr="001029B2">
        <w:rPr>
          <w:rFonts w:ascii="Times New Roman" w:hAnsi="Times New Roman" w:cs="Times New Roman"/>
          <w:color w:val="202124"/>
          <w:shd w:val="clear" w:color="auto" w:fill="FFFFFF"/>
          <w:lang w:val="vi-VN"/>
        </w:rPr>
        <w:t>Mọi người có quyền bất khả xâm phạm về đời sống riêng tư, bí mật cá nhân và bí mật gia đình, có quyền bảo vệ danh dự, uy tín của mình.</w:t>
      </w:r>
      <w:r>
        <w:rPr>
          <w:rFonts w:ascii="Times New Roman" w:hAnsi="Times New Roman" w:cs="Times New Roman"/>
          <w:color w:val="202124"/>
          <w:shd w:val="clear" w:color="auto" w:fill="FFFFFF"/>
        </w:rPr>
        <w:t xml:space="preserve"> </w:t>
      </w:r>
      <w:r w:rsidRPr="00D622D7">
        <w:rPr>
          <w:rFonts w:ascii="Times New Roman" w:hAnsi="Times New Roman" w:cs="Times New Roman"/>
          <w:color w:val="202124"/>
          <w:shd w:val="clear" w:color="auto" w:fill="FFFFFF"/>
          <w:lang w:val="vi-VN"/>
        </w:rPr>
        <w:t xml:space="preserve">Thông tin về đời sống riêng tư, bí mật cá nhân, bí mật gia đình được pháp luật bảo đảm </w:t>
      </w:r>
      <w:r>
        <w:rPr>
          <w:rFonts w:ascii="Times New Roman" w:hAnsi="Times New Roman" w:cs="Times New Roman"/>
          <w:color w:val="202124"/>
          <w:shd w:val="clear" w:color="auto" w:fill="FFFFFF"/>
        </w:rPr>
        <w:t>a</w:t>
      </w:r>
      <w:r w:rsidRPr="00D622D7">
        <w:rPr>
          <w:rFonts w:ascii="Times New Roman" w:hAnsi="Times New Roman" w:cs="Times New Roman"/>
          <w:color w:val="202124"/>
          <w:shd w:val="clear" w:color="auto" w:fill="FFFFFF"/>
          <w:lang w:val="vi-VN"/>
        </w:rPr>
        <w:t>n toàn</w:t>
      </w:r>
    </w:p>
    <w:p w14:paraId="403B1A84" w14:textId="77777777" w:rsidR="00A82381"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Người nào dùng vũ lực, đe doạ dùng vũ lực hoặc lợi dụng tình trạng không thể tự vệ được của nạn nhân hoặc thủ đoạn khác giao cấu hoặc thực hiện hành vi quan hệ tình dục khác trái với ý muốn của nạn nhân thì bị phạt tù từ 2 năm đến 7 năm.</w:t>
      </w:r>
    </w:p>
    <w:p w14:paraId="331A3FED" w14:textId="75A0F81E" w:rsidR="001029B2" w:rsidRDefault="001029B2" w:rsidP="001029B2">
      <w:pPr>
        <w:pStyle w:val="ListParagraph"/>
        <w:numPr>
          <w:ilvl w:val="0"/>
          <w:numId w:val="28"/>
        </w:numPr>
        <w:spacing w:before="240" w:after="240" w:line="360" w:lineRule="auto"/>
        <w:ind w:left="1440"/>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lang w:val="vi-VN"/>
        </w:rPr>
        <w:t>Người nào dùng vũ lực, đe doạ dùng vũ lực hoặc lợi dụng tình trạng không thể tự vệ được của nạn nhân hoặc thủ đoạn khác giao cấu hoặc thực hiện hành vi quan hệ tình dục khác trái với ý muốn của nạn nhân</w:t>
      </w:r>
    </w:p>
    <w:p w14:paraId="3F820314" w14:textId="688C24A3" w:rsidR="001029B2" w:rsidRPr="00D622D7" w:rsidRDefault="001029B2" w:rsidP="001029B2">
      <w:pPr>
        <w:pStyle w:val="ListParagraph"/>
        <w:numPr>
          <w:ilvl w:val="0"/>
          <w:numId w:val="28"/>
        </w:numPr>
        <w:spacing w:before="240" w:after="240" w:line="360" w:lineRule="auto"/>
        <w:ind w:left="1440"/>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Quy định: </w:t>
      </w:r>
      <w:r w:rsidRPr="00D622D7">
        <w:rPr>
          <w:rFonts w:ascii="Times New Roman" w:hAnsi="Times New Roman" w:cs="Times New Roman"/>
          <w:color w:val="202124"/>
          <w:shd w:val="clear" w:color="auto" w:fill="FFFFFF"/>
          <w:lang w:val="vi-VN"/>
        </w:rPr>
        <w:t>thì bị phạt tù từ 2 năm đến 7 năm</w:t>
      </w:r>
    </w:p>
    <w:p w14:paraId="36752267" w14:textId="77777777" w:rsidR="00A82381" w:rsidRPr="00D622D7"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Phạm tội thuộc một trong các trường hợp sau đây thì bị phạt tù từ 7 năm đến 15 năm:</w:t>
      </w:r>
    </w:p>
    <w:p w14:paraId="46B5AB33" w14:textId="77777777" w:rsidR="00A82381" w:rsidRPr="00D622D7" w:rsidRDefault="00A82381" w:rsidP="006004B3">
      <w:pPr>
        <w:pStyle w:val="ListParagraph"/>
        <w:numPr>
          <w:ilvl w:val="0"/>
          <w:numId w:val="4"/>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Có tổ chức</w:t>
      </w:r>
    </w:p>
    <w:p w14:paraId="42759EF1" w14:textId="77777777" w:rsidR="00A82381" w:rsidRPr="00D622D7" w:rsidRDefault="00A82381" w:rsidP="006004B3">
      <w:pPr>
        <w:pStyle w:val="ListParagraph"/>
        <w:numPr>
          <w:ilvl w:val="0"/>
          <w:numId w:val="4"/>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Đối với người mà ngừoi phạm tội có trách nhiệm chăm sóc, giáo dục, chữa bệnh</w:t>
      </w:r>
    </w:p>
    <w:p w14:paraId="355F4E1B" w14:textId="77777777" w:rsidR="00A82381" w:rsidRPr="00D622D7" w:rsidRDefault="00A82381" w:rsidP="006004B3">
      <w:pPr>
        <w:pStyle w:val="ListParagraph"/>
        <w:numPr>
          <w:ilvl w:val="0"/>
          <w:numId w:val="4"/>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Nhiều người hiếp một người</w:t>
      </w:r>
    </w:p>
    <w:p w14:paraId="24443162" w14:textId="77777777" w:rsidR="00A82381" w:rsidRPr="00D622D7" w:rsidRDefault="00A82381" w:rsidP="006004B3">
      <w:pPr>
        <w:pStyle w:val="ListParagraph"/>
        <w:numPr>
          <w:ilvl w:val="0"/>
          <w:numId w:val="4"/>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Phạm tội 02 lần trở lên</w:t>
      </w:r>
    </w:p>
    <w:p w14:paraId="672752B1" w14:textId="77777777" w:rsidR="00A82381" w:rsidRPr="00D622D7" w:rsidRDefault="00A82381" w:rsidP="006004B3">
      <w:pPr>
        <w:pStyle w:val="ListParagraph"/>
        <w:numPr>
          <w:ilvl w:val="0"/>
          <w:numId w:val="4"/>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Có tính chất loạn luân</w:t>
      </w:r>
    </w:p>
    <w:p w14:paraId="6A9C4530" w14:textId="77777777" w:rsidR="00A82381" w:rsidRPr="00D622D7" w:rsidRDefault="00A82381" w:rsidP="006004B3">
      <w:pPr>
        <w:pStyle w:val="ListParagraph"/>
        <w:numPr>
          <w:ilvl w:val="0"/>
          <w:numId w:val="4"/>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Làm nạn nhân có thai</w:t>
      </w:r>
    </w:p>
    <w:p w14:paraId="08172A11" w14:textId="77777777" w:rsidR="00A82381" w:rsidRPr="00D622D7" w:rsidRDefault="00A82381" w:rsidP="006004B3">
      <w:pPr>
        <w:pStyle w:val="ListParagraph"/>
        <w:numPr>
          <w:ilvl w:val="0"/>
          <w:numId w:val="4"/>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Gây thương tích, gây tổn hại cho sức khoẻ hoặc gây rối loạn tâm thần và hành vi của nạn nhân mà tỷ lệ tổn thương cơ thể từ 31% đến 60%</w:t>
      </w:r>
    </w:p>
    <w:p w14:paraId="7BB589AA" w14:textId="77777777" w:rsidR="00A82381" w:rsidRDefault="00A82381" w:rsidP="006004B3">
      <w:pPr>
        <w:pStyle w:val="ListParagraph"/>
        <w:numPr>
          <w:ilvl w:val="0"/>
          <w:numId w:val="4"/>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Tái phạm nguy hiểm.</w:t>
      </w:r>
    </w:p>
    <w:p w14:paraId="69809117" w14:textId="19648106" w:rsidR="001029B2" w:rsidRDefault="001029B2" w:rsidP="001029B2">
      <w:pPr>
        <w:pStyle w:val="ListParagraph"/>
        <w:numPr>
          <w:ilvl w:val="0"/>
          <w:numId w:val="30"/>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lang w:val="vi-VN"/>
        </w:rPr>
        <w:t>Phạm tội thuộc một trong các trường hợp sau đây</w:t>
      </w:r>
    </w:p>
    <w:p w14:paraId="7DF7846C" w14:textId="77777777" w:rsidR="001029B2" w:rsidRPr="00D622D7" w:rsidRDefault="001029B2" w:rsidP="001029B2">
      <w:pPr>
        <w:pStyle w:val="ListParagraph"/>
        <w:numPr>
          <w:ilvl w:val="0"/>
          <w:numId w:val="3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Có tổ chức</w:t>
      </w:r>
    </w:p>
    <w:p w14:paraId="1BA02FF4" w14:textId="77777777" w:rsidR="001029B2" w:rsidRPr="00D622D7" w:rsidRDefault="001029B2" w:rsidP="001029B2">
      <w:pPr>
        <w:pStyle w:val="ListParagraph"/>
        <w:numPr>
          <w:ilvl w:val="0"/>
          <w:numId w:val="3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lastRenderedPageBreak/>
        <w:t>Đối với người mà ngừoi phạm tội có trách nhiệm chăm sóc, giáo dục, chữa bệnh</w:t>
      </w:r>
    </w:p>
    <w:p w14:paraId="6B5C5BE9" w14:textId="77777777" w:rsidR="001029B2" w:rsidRPr="00D622D7" w:rsidRDefault="001029B2" w:rsidP="001029B2">
      <w:pPr>
        <w:pStyle w:val="ListParagraph"/>
        <w:numPr>
          <w:ilvl w:val="0"/>
          <w:numId w:val="3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Nhiều người hiếp một người</w:t>
      </w:r>
    </w:p>
    <w:p w14:paraId="513EE34B" w14:textId="77777777" w:rsidR="001029B2" w:rsidRPr="00D622D7" w:rsidRDefault="001029B2" w:rsidP="001029B2">
      <w:pPr>
        <w:pStyle w:val="ListParagraph"/>
        <w:numPr>
          <w:ilvl w:val="0"/>
          <w:numId w:val="3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Phạm tội 02 lần trở lên</w:t>
      </w:r>
    </w:p>
    <w:p w14:paraId="74A29294" w14:textId="77777777" w:rsidR="001029B2" w:rsidRPr="00D622D7" w:rsidRDefault="001029B2" w:rsidP="001029B2">
      <w:pPr>
        <w:pStyle w:val="ListParagraph"/>
        <w:numPr>
          <w:ilvl w:val="0"/>
          <w:numId w:val="3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Có tính chất loạn luân</w:t>
      </w:r>
    </w:p>
    <w:p w14:paraId="1BDE2BE8" w14:textId="77777777" w:rsidR="001029B2" w:rsidRPr="00D622D7" w:rsidRDefault="001029B2" w:rsidP="001029B2">
      <w:pPr>
        <w:pStyle w:val="ListParagraph"/>
        <w:numPr>
          <w:ilvl w:val="0"/>
          <w:numId w:val="3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Làm nạn nhân có thai</w:t>
      </w:r>
    </w:p>
    <w:p w14:paraId="35472BBD" w14:textId="77777777" w:rsidR="001029B2" w:rsidRPr="00D622D7" w:rsidRDefault="001029B2" w:rsidP="001029B2">
      <w:pPr>
        <w:pStyle w:val="ListParagraph"/>
        <w:numPr>
          <w:ilvl w:val="0"/>
          <w:numId w:val="3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Gây thương tích, gây tổn hại cho sức khoẻ hoặc gây rối loạn tâm thần và hành vi của nạn nhân mà tỷ lệ tổn thương cơ thể từ 31% đến 60%</w:t>
      </w:r>
    </w:p>
    <w:p w14:paraId="0665BDF1" w14:textId="77777777" w:rsidR="001029B2" w:rsidRDefault="001029B2" w:rsidP="001029B2">
      <w:pPr>
        <w:pStyle w:val="ListParagraph"/>
        <w:numPr>
          <w:ilvl w:val="0"/>
          <w:numId w:val="3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Tái phạm nguy hiểm.</w:t>
      </w:r>
    </w:p>
    <w:p w14:paraId="56CA7301" w14:textId="1F1388A4" w:rsidR="001029B2" w:rsidRPr="00D622D7" w:rsidRDefault="001029B2" w:rsidP="001029B2">
      <w:pPr>
        <w:pStyle w:val="ListParagraph"/>
        <w:numPr>
          <w:ilvl w:val="0"/>
          <w:numId w:val="30"/>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Chế tài: </w:t>
      </w:r>
      <w:r w:rsidRPr="00D622D7">
        <w:rPr>
          <w:rFonts w:ascii="Times New Roman" w:hAnsi="Times New Roman" w:cs="Times New Roman"/>
          <w:color w:val="202124"/>
          <w:shd w:val="clear" w:color="auto" w:fill="FFFFFF"/>
          <w:lang w:val="vi-VN"/>
        </w:rPr>
        <w:t>thì bị phạt tù từ 7 năm đến 15 năm</w:t>
      </w:r>
    </w:p>
    <w:p w14:paraId="7E6F4780" w14:textId="77777777" w:rsidR="00A82381" w:rsidRPr="00D622D7" w:rsidRDefault="00A82381" w:rsidP="006004B3">
      <w:pPr>
        <w:pStyle w:val="ListParagraph"/>
        <w:numPr>
          <w:ilvl w:val="0"/>
          <w:numId w:val="1"/>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Phạm tội thuộc một trong các trường hợp sau đây, thì bị phạt tù từ 12 năm đến 20 năm hoặc tù chung thân:</w:t>
      </w:r>
    </w:p>
    <w:p w14:paraId="0E16E660" w14:textId="77777777" w:rsidR="00A82381" w:rsidRPr="00D622D7" w:rsidRDefault="00A82381" w:rsidP="006004B3">
      <w:pPr>
        <w:pStyle w:val="ListParagraph"/>
        <w:numPr>
          <w:ilvl w:val="0"/>
          <w:numId w:val="5"/>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Gây thương tích, gây tổn hại cho sức khoẻ hoặc gây rối loạn tâm thần và hành vi của nạn nhân mà tỷ lệ tổn thương cơ thể 61% trở lên</w:t>
      </w:r>
    </w:p>
    <w:p w14:paraId="1F90A181" w14:textId="77777777" w:rsidR="00A82381" w:rsidRPr="00D622D7" w:rsidRDefault="00A82381" w:rsidP="006004B3">
      <w:pPr>
        <w:pStyle w:val="ListParagraph"/>
        <w:numPr>
          <w:ilvl w:val="0"/>
          <w:numId w:val="5"/>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Biết mình bị nhiễm HIV mà vẫn phạm tội</w:t>
      </w:r>
    </w:p>
    <w:p w14:paraId="0A90A749" w14:textId="4B6DAE28" w:rsidR="00A82381" w:rsidRDefault="00A82381" w:rsidP="006004B3">
      <w:pPr>
        <w:pStyle w:val="ListParagraph"/>
        <w:numPr>
          <w:ilvl w:val="0"/>
          <w:numId w:val="5"/>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Làm nạn nhân chết hoặc tự sát.</w:t>
      </w:r>
    </w:p>
    <w:p w14:paraId="3F555E2E" w14:textId="40177111" w:rsidR="001029B2" w:rsidRDefault="001029B2" w:rsidP="001029B2">
      <w:pPr>
        <w:pStyle w:val="ListParagraph"/>
        <w:numPr>
          <w:ilvl w:val="0"/>
          <w:numId w:val="30"/>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Giả định: </w:t>
      </w:r>
      <w:r w:rsidRPr="00D622D7">
        <w:rPr>
          <w:rFonts w:ascii="Times New Roman" w:hAnsi="Times New Roman" w:cs="Times New Roman"/>
          <w:color w:val="202124"/>
          <w:shd w:val="clear" w:color="auto" w:fill="FFFFFF"/>
          <w:lang w:val="vi-VN"/>
        </w:rPr>
        <w:t>Phạm tội thuộc một trong các trường hợp sau đây</w:t>
      </w:r>
    </w:p>
    <w:p w14:paraId="3654B90C" w14:textId="77777777" w:rsidR="001029B2" w:rsidRPr="00D622D7" w:rsidRDefault="001029B2" w:rsidP="001029B2">
      <w:pPr>
        <w:pStyle w:val="ListParagraph"/>
        <w:numPr>
          <w:ilvl w:val="0"/>
          <w:numId w:val="32"/>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Gây thương tích, gây tổn hại cho sức khoẻ hoặc gây rối loạn tâm thần và hành vi của nạn nhân mà tỷ lệ tổn thương cơ thể 61% trở lên</w:t>
      </w:r>
    </w:p>
    <w:p w14:paraId="6B4BD26E" w14:textId="77777777" w:rsidR="001029B2" w:rsidRPr="00D622D7" w:rsidRDefault="001029B2" w:rsidP="001029B2">
      <w:pPr>
        <w:pStyle w:val="ListParagraph"/>
        <w:numPr>
          <w:ilvl w:val="0"/>
          <w:numId w:val="32"/>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Biết mình bị nhiễm HIV mà vẫn phạm tội</w:t>
      </w:r>
    </w:p>
    <w:p w14:paraId="56D4B454" w14:textId="77777777" w:rsidR="001029B2" w:rsidRDefault="001029B2" w:rsidP="001029B2">
      <w:pPr>
        <w:pStyle w:val="ListParagraph"/>
        <w:numPr>
          <w:ilvl w:val="0"/>
          <w:numId w:val="32"/>
        </w:numPr>
        <w:spacing w:before="240" w:after="240" w:line="360" w:lineRule="auto"/>
        <w:rPr>
          <w:rFonts w:ascii="Times New Roman" w:hAnsi="Times New Roman" w:cs="Times New Roman"/>
          <w:color w:val="202124"/>
          <w:shd w:val="clear" w:color="auto" w:fill="FFFFFF"/>
          <w:lang w:val="vi-VN"/>
        </w:rPr>
      </w:pPr>
      <w:r w:rsidRPr="00D622D7">
        <w:rPr>
          <w:rFonts w:ascii="Times New Roman" w:hAnsi="Times New Roman" w:cs="Times New Roman"/>
          <w:color w:val="202124"/>
          <w:shd w:val="clear" w:color="auto" w:fill="FFFFFF"/>
          <w:lang w:val="vi-VN"/>
        </w:rPr>
        <w:t>Làm nạn nhân chết hoặc tự sát.</w:t>
      </w:r>
    </w:p>
    <w:p w14:paraId="355123AF" w14:textId="326AC89C" w:rsidR="00A82381" w:rsidRPr="00734322" w:rsidRDefault="001029B2" w:rsidP="006004B3">
      <w:pPr>
        <w:pStyle w:val="ListParagraph"/>
        <w:numPr>
          <w:ilvl w:val="0"/>
          <w:numId w:val="30"/>
        </w:numPr>
        <w:spacing w:before="240" w:after="240" w:line="360" w:lineRule="auto"/>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rPr>
        <w:t xml:space="preserve">Chế tài: </w:t>
      </w:r>
      <w:r w:rsidRPr="00D622D7">
        <w:rPr>
          <w:rFonts w:ascii="Times New Roman" w:hAnsi="Times New Roman" w:cs="Times New Roman"/>
          <w:color w:val="202124"/>
          <w:shd w:val="clear" w:color="auto" w:fill="FFFFFF"/>
          <w:lang w:val="vi-VN"/>
        </w:rPr>
        <w:t>thì bị phạt tù từ 12 năm đến 20 năm hoặc tù chung thân</w:t>
      </w:r>
    </w:p>
    <w:sectPr w:rsidR="00A82381" w:rsidRPr="007343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388"/>
    <w:multiLevelType w:val="hybridMultilevel"/>
    <w:tmpl w:val="A0508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1C3281"/>
    <w:multiLevelType w:val="hybridMultilevel"/>
    <w:tmpl w:val="6A14E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7416C"/>
    <w:multiLevelType w:val="hybridMultilevel"/>
    <w:tmpl w:val="00AAB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A4814"/>
    <w:multiLevelType w:val="hybridMultilevel"/>
    <w:tmpl w:val="B5F06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D0EC7"/>
    <w:multiLevelType w:val="hybridMultilevel"/>
    <w:tmpl w:val="45DA0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863EF8"/>
    <w:multiLevelType w:val="hybridMultilevel"/>
    <w:tmpl w:val="F6F47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8A5C5F"/>
    <w:multiLevelType w:val="hybridMultilevel"/>
    <w:tmpl w:val="DAB27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002588"/>
    <w:multiLevelType w:val="hybridMultilevel"/>
    <w:tmpl w:val="0D4C7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47E21"/>
    <w:multiLevelType w:val="hybridMultilevel"/>
    <w:tmpl w:val="05D2B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9504D9"/>
    <w:multiLevelType w:val="hybridMultilevel"/>
    <w:tmpl w:val="22240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6B774B"/>
    <w:multiLevelType w:val="hybridMultilevel"/>
    <w:tmpl w:val="9B86C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5016E7"/>
    <w:multiLevelType w:val="hybridMultilevel"/>
    <w:tmpl w:val="897CC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F37DDC"/>
    <w:multiLevelType w:val="hybridMultilevel"/>
    <w:tmpl w:val="DF2AD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F004D"/>
    <w:multiLevelType w:val="hybridMultilevel"/>
    <w:tmpl w:val="7EEE0C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310F6B"/>
    <w:multiLevelType w:val="hybridMultilevel"/>
    <w:tmpl w:val="63622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6F2241"/>
    <w:multiLevelType w:val="hybridMultilevel"/>
    <w:tmpl w:val="90AEE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521725"/>
    <w:multiLevelType w:val="hybridMultilevel"/>
    <w:tmpl w:val="4B66F8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716BBC"/>
    <w:multiLevelType w:val="hybridMultilevel"/>
    <w:tmpl w:val="1EF28028"/>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45802C9"/>
    <w:multiLevelType w:val="hybridMultilevel"/>
    <w:tmpl w:val="28722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DF52CF"/>
    <w:multiLevelType w:val="hybridMultilevel"/>
    <w:tmpl w:val="AE823C94"/>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7EB0AE2"/>
    <w:multiLevelType w:val="hybridMultilevel"/>
    <w:tmpl w:val="C6A08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F22C09"/>
    <w:multiLevelType w:val="hybridMultilevel"/>
    <w:tmpl w:val="A9D84EE0"/>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2812901"/>
    <w:multiLevelType w:val="hybridMultilevel"/>
    <w:tmpl w:val="85F6BB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EE75C5"/>
    <w:multiLevelType w:val="hybridMultilevel"/>
    <w:tmpl w:val="0C7086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8C698B"/>
    <w:multiLevelType w:val="hybridMultilevel"/>
    <w:tmpl w:val="5880A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6169E3"/>
    <w:multiLevelType w:val="hybridMultilevel"/>
    <w:tmpl w:val="11881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CE4554"/>
    <w:multiLevelType w:val="hybridMultilevel"/>
    <w:tmpl w:val="E7343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2B163F"/>
    <w:multiLevelType w:val="multilevel"/>
    <w:tmpl w:val="9EE087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3D91FF4"/>
    <w:multiLevelType w:val="hybridMultilevel"/>
    <w:tmpl w:val="BCCECC2A"/>
    <w:lvl w:ilvl="0" w:tplc="04090019">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75B45DAF"/>
    <w:multiLevelType w:val="hybridMultilevel"/>
    <w:tmpl w:val="9E4C4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0F418E"/>
    <w:multiLevelType w:val="hybridMultilevel"/>
    <w:tmpl w:val="49082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1121BF"/>
    <w:multiLevelType w:val="hybridMultilevel"/>
    <w:tmpl w:val="EC1C6FFC"/>
    <w:lvl w:ilvl="0" w:tplc="5F1AF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7485522">
    <w:abstractNumId w:val="27"/>
  </w:num>
  <w:num w:numId="2" w16cid:durableId="855116855">
    <w:abstractNumId w:val="20"/>
  </w:num>
  <w:num w:numId="3" w16cid:durableId="993798667">
    <w:abstractNumId w:val="31"/>
  </w:num>
  <w:num w:numId="4" w16cid:durableId="2010907026">
    <w:abstractNumId w:val="12"/>
  </w:num>
  <w:num w:numId="5" w16cid:durableId="1301887851">
    <w:abstractNumId w:val="3"/>
  </w:num>
  <w:num w:numId="6" w16cid:durableId="1160001806">
    <w:abstractNumId w:val="2"/>
  </w:num>
  <w:num w:numId="7" w16cid:durableId="1183202578">
    <w:abstractNumId w:val="9"/>
  </w:num>
  <w:num w:numId="8" w16cid:durableId="1008555393">
    <w:abstractNumId w:val="0"/>
  </w:num>
  <w:num w:numId="9" w16cid:durableId="357198768">
    <w:abstractNumId w:val="4"/>
  </w:num>
  <w:num w:numId="10" w16cid:durableId="2107337072">
    <w:abstractNumId w:val="16"/>
  </w:num>
  <w:num w:numId="11" w16cid:durableId="415135687">
    <w:abstractNumId w:val="22"/>
  </w:num>
  <w:num w:numId="12" w16cid:durableId="151337595">
    <w:abstractNumId w:val="13"/>
  </w:num>
  <w:num w:numId="13" w16cid:durableId="893731743">
    <w:abstractNumId w:val="25"/>
  </w:num>
  <w:num w:numId="14" w16cid:durableId="1094204580">
    <w:abstractNumId w:val="7"/>
  </w:num>
  <w:num w:numId="15" w16cid:durableId="1374618732">
    <w:abstractNumId w:val="18"/>
  </w:num>
  <w:num w:numId="16" w16cid:durableId="1591084846">
    <w:abstractNumId w:val="11"/>
  </w:num>
  <w:num w:numId="17" w16cid:durableId="860625972">
    <w:abstractNumId w:val="10"/>
  </w:num>
  <w:num w:numId="18" w16cid:durableId="1522428811">
    <w:abstractNumId w:val="1"/>
  </w:num>
  <w:num w:numId="19" w16cid:durableId="1122656199">
    <w:abstractNumId w:val="8"/>
  </w:num>
  <w:num w:numId="20" w16cid:durableId="1261260588">
    <w:abstractNumId w:val="6"/>
  </w:num>
  <w:num w:numId="21" w16cid:durableId="1104425266">
    <w:abstractNumId w:val="29"/>
  </w:num>
  <w:num w:numId="22" w16cid:durableId="1769957451">
    <w:abstractNumId w:val="15"/>
  </w:num>
  <w:num w:numId="23" w16cid:durableId="1390811030">
    <w:abstractNumId w:val="30"/>
  </w:num>
  <w:num w:numId="24" w16cid:durableId="277875951">
    <w:abstractNumId w:val="23"/>
  </w:num>
  <w:num w:numId="25" w16cid:durableId="1279294872">
    <w:abstractNumId w:val="17"/>
  </w:num>
  <w:num w:numId="26" w16cid:durableId="268198743">
    <w:abstractNumId w:val="14"/>
  </w:num>
  <w:num w:numId="27" w16cid:durableId="2145001279">
    <w:abstractNumId w:val="26"/>
  </w:num>
  <w:num w:numId="28" w16cid:durableId="1169561938">
    <w:abstractNumId w:val="5"/>
  </w:num>
  <w:num w:numId="29" w16cid:durableId="130942831">
    <w:abstractNumId w:val="28"/>
  </w:num>
  <w:num w:numId="30" w16cid:durableId="1741294554">
    <w:abstractNumId w:val="24"/>
  </w:num>
  <w:num w:numId="31" w16cid:durableId="543754936">
    <w:abstractNumId w:val="21"/>
  </w:num>
  <w:num w:numId="32" w16cid:durableId="6600840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81"/>
    <w:rsid w:val="000639BE"/>
    <w:rsid w:val="001029B2"/>
    <w:rsid w:val="00175B2B"/>
    <w:rsid w:val="001E4902"/>
    <w:rsid w:val="00495561"/>
    <w:rsid w:val="006004B3"/>
    <w:rsid w:val="00624DC3"/>
    <w:rsid w:val="00734322"/>
    <w:rsid w:val="00865D14"/>
    <w:rsid w:val="00873BAF"/>
    <w:rsid w:val="00A82381"/>
    <w:rsid w:val="00BA673D"/>
    <w:rsid w:val="00F55634"/>
    <w:rsid w:val="00FB0EEE"/>
    <w:rsid w:val="00FF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66FE"/>
  <w15:chartTrackingRefBased/>
  <w15:docId w15:val="{4D230CB0-B3EA-C746-92A8-D2C286A9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2381"/>
    <w:pPr>
      <w:ind w:left="720"/>
      <w:contextualSpacing/>
    </w:pPr>
  </w:style>
  <w:style w:type="character" w:customStyle="1" w:styleId="ListParagraphChar">
    <w:name w:val="List Paragraph Char"/>
    <w:link w:val="ListParagraph"/>
    <w:uiPriority w:val="34"/>
    <w:rsid w:val="00A82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Nguyenlemy</dc:creator>
  <cp:keywords/>
  <dc:description/>
  <cp:lastModifiedBy>Duy Hao Nguyen</cp:lastModifiedBy>
  <cp:revision>7</cp:revision>
  <dcterms:created xsi:type="dcterms:W3CDTF">2022-11-07T01:41:00Z</dcterms:created>
  <dcterms:modified xsi:type="dcterms:W3CDTF">2023-04-17T14:10:00Z</dcterms:modified>
</cp:coreProperties>
</file>