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COBERTURA DE TESTING UNITARIO</w:t>
      </w:r>
    </w:p>
    <w:p>
      <w:r>
        <w:rPr>
          <w:i/>
          <w:color w:val="5A6E78"/>
        </w:rPr>
        <w:t>UN HELADITO · Desarrollo Full Stack II · Evaluación Parcial 2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Framework de testing</w:t>
            </w:r>
          </w:p>
        </w:tc>
        <w:tc>
          <w:tcPr>
            <w:tcW w:type="dxa" w:w="5112"/>
          </w:tcPr>
          <w:p>
            <w:r>
              <w:t>Vitest + React Testing Library + user-event (integrado con Vite)</w:t>
            </w:r>
          </w:p>
        </w:tc>
      </w:tr>
      <w:tr>
        <w:tc>
          <w:tcPr>
            <w:tcW w:type="dxa" w:w="5112"/>
          </w:tcPr>
          <w:p>
            <w:r>
              <w:t>Entorno DOM</w:t>
            </w:r>
          </w:p>
        </w:tc>
        <w:tc>
          <w:tcPr>
            <w:tcW w:type="dxa" w:w="5112"/>
          </w:tcPr>
          <w:p>
            <w:r>
              <w:t>jsdom</w:t>
            </w:r>
          </w:p>
        </w:tc>
      </w:tr>
      <w:tr>
        <w:tc>
          <w:tcPr>
            <w:tcW w:type="dxa" w:w="5112"/>
          </w:tcPr>
          <w:p>
            <w:r>
              <w:t>Integrantes</w:t>
            </w:r>
          </w:p>
        </w:tc>
        <w:tc>
          <w:tcPr>
            <w:tcW w:type="dxa" w:w="5112"/>
          </w:tcPr>
          <w:p>
            <w:r>
              <w:t>Eduardo Acevedo / Edward Cardoza / Gabriel Abreu</w:t>
            </w:r>
          </w:p>
        </w:tc>
      </w:tr>
      <w:tr>
        <w:tc>
          <w:tcPr>
            <w:tcW w:type="dxa" w:w="5112"/>
          </w:tcPr>
          <w:p>
            <w:r>
              <w:t>Archivos de prueba</w:t>
            </w:r>
          </w:p>
        </w:tc>
        <w:tc>
          <w:tcPr>
            <w:tcW w:type="dxa" w:w="5112"/>
          </w:tcPr>
          <w:p>
            <w:r>
              <w:t>7</w:t>
            </w:r>
          </w:p>
        </w:tc>
      </w:tr>
      <w:tr>
        <w:tc>
          <w:tcPr>
            <w:tcW w:type="dxa" w:w="5112"/>
          </w:tcPr>
          <w:p>
            <w:r>
              <w:t>Pruebas ejecutadas y aprobadas</w:t>
            </w:r>
          </w:p>
        </w:tc>
        <w:tc>
          <w:tcPr>
            <w:tcW w:type="dxa" w:w="5112"/>
          </w:tcPr>
          <w:p>
            <w:r>
              <w:t>28</w:t>
            </w:r>
          </w:p>
        </w:tc>
      </w:tr>
      <w:tr>
        <w:tc>
          <w:tcPr>
            <w:tcW w:type="dxa" w:w="5112"/>
          </w:tcPr>
          <w:p>
            <w:r>
              <w:t>Estado de ejecución</w:t>
            </w:r>
          </w:p>
        </w:tc>
        <w:tc>
          <w:tcPr>
            <w:tcW w:type="dxa" w:w="5112"/>
          </w:tcPr>
          <w:p>
            <w:r>
              <w:t>Pendiente de validar con una ejecución completa en el equipo del proyecto</w:t>
            </w:r>
          </w:p>
        </w:tc>
      </w:tr>
      <w:tr>
        <w:tc>
          <w:tcPr>
            <w:tcW w:type="dxa" w:w="5112"/>
          </w:tcPr>
          <w:p>
            <w:r>
              <w:t>Fecha de actualización</w:t>
            </w:r>
          </w:p>
        </w:tc>
        <w:tc>
          <w:tcPr>
            <w:tcW w:type="dxa" w:w="5112"/>
          </w:tcPr>
          <w:p>
            <w:r>
              <w:t>30-10-2026</w:t>
            </w:r>
          </w:p>
        </w:tc>
      </w:tr>
    </w:tbl>
    <w:p>
      <w:pPr>
        <w:pStyle w:val="Heading1"/>
      </w:pPr>
      <w:r>
        <w:t>1. Objetivo</w:t>
      </w:r>
    </w:p>
    <w:p>
      <w:r>
        <w:t>Documentar las pruebas unitarias incorporadas al frontend de Un Heladito, las herramientas utilizadas, los comportamientos cubiertos y las evidencias necesarias para informar la cobertura real. Según la indicación entregada por el docente al equipo, el proyecto utiliza Vite/Vitest en reemplazo de Jasmine y Karma.</w:t>
      </w:r>
    </w:p>
    <w:p>
      <w:pPr>
        <w:pStyle w:val="Heading1"/>
      </w:pPr>
      <w:r>
        <w:t>2. Herramientas y configuración</w:t>
      </w:r>
    </w:p>
    <w:p>
      <w:pPr>
        <w:pStyle w:val="ListBullet"/>
      </w:pPr>
      <w:r>
        <w:t>Vitest 5.0.5 como ejecutor de pruebas, integrado con Vite.</w:t>
      </w:r>
    </w:p>
    <w:p>
      <w:pPr>
        <w:pStyle w:val="ListBullet"/>
      </w:pPr>
      <w:r>
        <w:t>React Testing Library para renderizar componentes y consultar el DOM.</w:t>
      </w:r>
    </w:p>
    <w:p>
      <w:pPr>
        <w:pStyle w:val="ListBullet"/>
      </w:pPr>
      <w:r>
        <w:t>@testing-library/user-event para simular interacciones del usuario.</w:t>
      </w:r>
    </w:p>
    <w:p>
      <w:pPr>
        <w:pStyle w:val="ListBullet"/>
      </w:pPr>
      <w:r>
        <w:t>jsdom como entorno DOM de pruebas.</w:t>
      </w:r>
    </w:p>
    <w:p>
      <w:pPr>
        <w:pStyle w:val="ListBullet"/>
      </w:pPr>
      <w:r>
        <w:t>vi.fn() y vi.mock() para crear funciones y módulos simulados.</w:t>
      </w:r>
    </w:p>
    <w:p>
      <w:pPr>
        <w:pStyle w:val="ListBullet"/>
      </w:pPr>
      <w:r>
        <w:t>@vitest/coverage-v8 como proveedor de cobertura; reportes configurados en formatos text, HTML y LCOV.</w:t>
      </w:r>
    </w:p>
    <w:p>
      <w:r>
        <w:t>Scripts definidos en package.json: npm run test:ejecutar para ejecutar la suite y npm run test:cobertura para ejecutar las pruebas con cobertura. La configuración de cobertura incluye src/components, src/pages, src/context y src/services; excluye archivos de prueba y src/main.jsx. La carpeta src/data no está incluida actualmente en coverage.include.</w:t>
      </w:r>
    </w:p>
    <w:p>
      <w:pPr>
        <w:pStyle w:val="Heading1"/>
      </w:pPr>
      <w:r>
        <w:t>3. Inventario de casos de prueba</w:t>
      </w:r>
    </w:p>
    <w:p>
      <w:r>
        <w:t>La ejecución final mostrada en la captura de terminal registra 7 archivos de prueba aprobados y 28 pruebas aprobadas, sin archivos ni casos fallidos en esa ejecución.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t>ID</w:t>
            </w:r>
          </w:p>
        </w:tc>
        <w:tc>
          <w:tcPr>
            <w:tcW w:type="dxa" w:w="3408"/>
            <w:vAlign w:val="center"/>
          </w:tcPr>
          <w:p>
            <w:r>
              <w:t>Archivo</w:t>
            </w:r>
          </w:p>
        </w:tc>
        <w:tc>
          <w:tcPr>
            <w:tcW w:type="dxa" w:w="3408"/>
            <w:vAlign w:val="center"/>
          </w:tcPr>
          <w:p>
            <w:r>
              <w:t>Descripción del caso</w:t>
            </w:r>
          </w:p>
        </w:tc>
      </w:tr>
      <w:tr>
        <w:tc>
          <w:tcPr>
            <w:tcW w:type="dxa" w:w="3408"/>
            <w:vAlign w:val="center"/>
          </w:tcPr>
          <w:p>
            <w:r>
              <w:t>T-01</w:t>
            </w:r>
          </w:p>
        </w:tc>
        <w:tc>
          <w:tcPr>
            <w:tcW w:type="dxa" w:w="3408"/>
            <w:vAlign w:val="center"/>
          </w:tcPr>
          <w:p>
            <w:r>
              <w:t>Alert.test.jsx</w:t>
            </w:r>
          </w:p>
        </w:tc>
        <w:tc>
          <w:tcPr>
            <w:tcW w:type="dxa" w:w="3408"/>
            <w:vAlign w:val="center"/>
          </w:tcPr>
          <w:p>
            <w:r>
              <w:t>Actualiza contenido y clase CSS al cambiar el tipo de alerta.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T-02</w:t>
            </w:r>
          </w:p>
        </w:tc>
        <w:tc>
          <w:tcPr>
            <w:tcW w:type="dxa" w:w="3408"/>
            <w:vAlign w:val="center"/>
          </w:tcPr>
          <w:p>
            <w:r>
              <w:t>Alert.test.jsx</w:t>
            </w:r>
          </w:p>
        </w:tc>
        <w:tc>
          <w:tcPr>
            <w:tcW w:type="dxa" w:w="3408"/>
            <w:vAlign w:val="center"/>
          </w:tcPr>
          <w:p>
            <w:r>
              <w:t>No renderiza el mensaje cuando está vacío.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T-03</w:t>
            </w:r>
          </w:p>
        </w:tc>
        <w:tc>
          <w:tcPr>
            <w:tcW w:type="dxa" w:w="3408"/>
            <w:vAlign w:val="center"/>
          </w:tcPr>
          <w:p>
            <w:r>
              <w:t>Alert.test.jsx</w:t>
            </w:r>
          </w:p>
        </w:tc>
        <w:tc>
          <w:tcPr>
            <w:tcW w:type="dxa" w:w="3408"/>
            <w:vAlign w:val="center"/>
          </w:tcPr>
          <w:p>
            <w:r>
              <w:t>Muestra el mensaje y estilo de error.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T-04</w:t>
            </w:r>
          </w:p>
        </w:tc>
        <w:tc>
          <w:tcPr>
            <w:tcW w:type="dxa" w:w="3408"/>
            <w:vAlign w:val="center"/>
          </w:tcPr>
          <w:p>
            <w:r>
              <w:t>Alert.test.jsx</w:t>
            </w:r>
          </w:p>
        </w:tc>
        <w:tc>
          <w:tcPr>
            <w:tcW w:type="dxa" w:w="3408"/>
            <w:vAlign w:val="center"/>
          </w:tcPr>
          <w:p>
            <w:r>
              <w:t>Oculta el botón de cierre cuando no recibe onClose.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T-05</w:t>
            </w:r>
          </w:p>
        </w:tc>
        <w:tc>
          <w:tcPr>
            <w:tcW w:type="dxa" w:w="3408"/>
            <w:vAlign w:val="center"/>
          </w:tcPr>
          <w:p>
            <w:r>
              <w:t>Alert.test.jsx</w:t>
            </w:r>
          </w:p>
        </w:tc>
        <w:tc>
          <w:tcPr>
            <w:tcW w:type="dxa" w:w="3408"/>
            <w:vAlign w:val="center"/>
          </w:tcPr>
          <w:p>
            <w:r>
              <w:t>Usa tipo info por defecto y ejecuta onClose.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T-06</w:t>
            </w:r>
          </w:p>
        </w:tc>
        <w:tc>
          <w:tcPr>
            <w:tcW w:type="dxa" w:w="3408"/>
            <w:vAlign w:val="center"/>
          </w:tcPr>
          <w:p>
            <w:r>
              <w:t>Contact.test.jsx</w:t>
            </w:r>
          </w:p>
        </w:tc>
        <w:tc>
          <w:tcPr>
            <w:tcW w:type="dxa" w:w="3408"/>
            <w:vAlign w:val="center"/>
          </w:tcPr>
          <w:p>
            <w:r>
              <w:t>Actualiza el estado del formulario al escribir.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T-07</w:t>
            </w:r>
          </w:p>
        </w:tc>
        <w:tc>
          <w:tcPr>
            <w:tcW w:type="dxa" w:w="3408"/>
            <w:vAlign w:val="center"/>
          </w:tcPr>
          <w:p>
            <w:r>
              <w:t>Contact.test.jsx</w:t>
            </w:r>
          </w:p>
        </w:tc>
        <w:tc>
          <w:tcPr>
            <w:tcW w:type="dxa" w:w="3408"/>
            <w:vAlign w:val="center"/>
          </w:tcPr>
          <w:p>
            <w:r>
              <w:t>Muestra confirmación al enviar y limpia campos.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T-08</w:t>
            </w:r>
          </w:p>
        </w:tc>
        <w:tc>
          <w:tcPr>
            <w:tcW w:type="dxa" w:w="3408"/>
            <w:vAlign w:val="center"/>
          </w:tcPr>
          <w:p>
            <w:r>
              <w:t>Contact.test.jsx</w:t>
            </w:r>
          </w:p>
        </w:tc>
        <w:tc>
          <w:tcPr>
            <w:tcW w:type="dxa" w:w="3408"/>
            <w:vAlign w:val="center"/>
          </w:tcPr>
          <w:p>
            <w:r>
              <w:t>Permite cambiar calificación y refleja el valor seleccionado.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T-09</w:t>
            </w:r>
          </w:p>
        </w:tc>
        <w:tc>
          <w:tcPr>
            <w:tcW w:type="dxa" w:w="3408"/>
            <w:vAlign w:val="center"/>
          </w:tcPr>
          <w:p>
            <w:r>
              <w:t>Login.test.jsx</w:t>
            </w:r>
          </w:p>
        </w:tc>
        <w:tc>
          <w:tcPr>
            <w:tcW w:type="dxa" w:w="3408"/>
            <w:vAlign w:val="center"/>
          </w:tcPr>
          <w:p>
            <w:r>
              <w:t>Actualiza correo y contraseña al escribir.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T-10</w:t>
            </w:r>
          </w:p>
        </w:tc>
        <w:tc>
          <w:tcPr>
            <w:tcW w:type="dxa" w:w="3408"/>
            <w:vAlign w:val="center"/>
          </w:tcPr>
          <w:p>
            <w:r>
              <w:t>Login.test.jsx</w:t>
            </w:r>
          </w:p>
        </w:tc>
        <w:tc>
          <w:tcPr>
            <w:tcW w:type="dxa" w:w="3408"/>
            <w:vAlign w:val="center"/>
          </w:tcPr>
          <w:p>
            <w:r>
              <w:t>Muestra error de correo inválido sin llamar autenticación.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T-11</w:t>
            </w:r>
          </w:p>
        </w:tc>
        <w:tc>
          <w:tcPr>
            <w:tcW w:type="dxa" w:w="3408"/>
            <w:vAlign w:val="center"/>
          </w:tcPr>
          <w:p>
            <w:r>
              <w:t>Login.test.jsx</w:t>
            </w:r>
          </w:p>
        </w:tc>
        <w:tc>
          <w:tcPr>
            <w:tcW w:type="dxa" w:w="3408"/>
            <w:vAlign w:val="center"/>
          </w:tcPr>
          <w:p>
            <w:r>
              <w:t>Muestra el mensaje del servicio cuando las credenciales son incorrectas.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T-12</w:t>
            </w:r>
          </w:p>
        </w:tc>
        <w:tc>
          <w:tcPr>
            <w:tcW w:type="dxa" w:w="3408"/>
            <w:vAlign w:val="center"/>
          </w:tcPr>
          <w:p>
            <w:r>
              <w:t>Navbar.test.jsx</w:t>
            </w:r>
          </w:p>
        </w:tc>
        <w:tc>
          <w:tcPr>
            <w:tcW w:type="dxa" w:w="3408"/>
            <w:vAlign w:val="center"/>
          </w:tcPr>
          <w:p>
            <w:r>
              <w:t>Renderiza marca y enlaces principales.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T-13</w:t>
            </w:r>
          </w:p>
        </w:tc>
        <w:tc>
          <w:tcPr>
            <w:tcW w:type="dxa" w:w="3408"/>
            <w:vAlign w:val="center"/>
          </w:tcPr>
          <w:p>
            <w:r>
              <w:t>Navbar.test.jsx</w:t>
            </w:r>
          </w:p>
        </w:tc>
        <w:tc>
          <w:tcPr>
            <w:tcW w:type="dxa" w:w="3408"/>
            <w:vAlign w:val="center"/>
          </w:tcPr>
          <w:p>
            <w:r>
              <w:t>Muestra opciones administrativas solo para rol administrador.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T-14</w:t>
            </w:r>
          </w:p>
        </w:tc>
        <w:tc>
          <w:tcPr>
            <w:tcW w:type="dxa" w:w="3408"/>
            <w:vAlign w:val="center"/>
          </w:tcPr>
          <w:p>
            <w:r>
              <w:t>Navbar.test.jsx</w:t>
            </w:r>
          </w:p>
        </w:tc>
        <w:tc>
          <w:tcPr>
            <w:tcW w:type="dxa" w:w="3408"/>
            <w:vAlign w:val="center"/>
          </w:tcPr>
          <w:p>
            <w:r>
              <w:t>Oculta administración y muestra Ingresar sin sesión.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T-15</w:t>
            </w:r>
          </w:p>
        </w:tc>
        <w:tc>
          <w:tcPr>
            <w:tcW w:type="dxa" w:w="3408"/>
            <w:vAlign w:val="center"/>
          </w:tcPr>
          <w:p>
            <w:r>
              <w:t>Navbar.test.jsx</w:t>
            </w:r>
          </w:p>
        </w:tc>
        <w:tc>
          <w:tcPr>
            <w:tcW w:type="dxa" w:w="3408"/>
            <w:vAlign w:val="center"/>
          </w:tcPr>
          <w:p>
            <w:r>
              <w:t>Abre y cierra menú móvil al pulsar botón y enlace.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T-16</w:t>
            </w:r>
          </w:p>
        </w:tc>
        <w:tc>
          <w:tcPr>
            <w:tcW w:type="dxa" w:w="3408"/>
            <w:vAlign w:val="center"/>
          </w:tcPr>
          <w:p>
            <w:r>
              <w:t>Navbar.test.jsx</w:t>
            </w:r>
          </w:p>
        </w:tc>
        <w:tc>
          <w:tcPr>
            <w:tcW w:type="dxa" w:w="3408"/>
            <w:vAlign w:val="center"/>
          </w:tcPr>
          <w:p>
            <w:r>
              <w:t>Muestra el contador actualizado del carrito.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T-17</w:t>
            </w:r>
          </w:p>
        </w:tc>
        <w:tc>
          <w:tcPr>
            <w:tcW w:type="dxa" w:w="3408"/>
            <w:vAlign w:val="center"/>
          </w:tcPr>
          <w:p>
            <w:r>
              <w:t>ProductCard.test.jsx</w:t>
            </w:r>
          </w:p>
        </w:tc>
        <w:tc>
          <w:tcPr>
            <w:tcW w:type="dxa" w:w="3408"/>
            <w:vAlign w:val="center"/>
          </w:tcPr>
          <w:p>
            <w:r>
              <w:t>Procesa y muestra información del producto.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T-18</w:t>
            </w:r>
          </w:p>
        </w:tc>
        <w:tc>
          <w:tcPr>
            <w:tcW w:type="dxa" w:w="3408"/>
            <w:vAlign w:val="center"/>
          </w:tcPr>
          <w:p>
            <w:r>
              <w:t>ProductCard.test.jsx</w:t>
            </w:r>
          </w:p>
        </w:tc>
        <w:tc>
          <w:tcPr>
            <w:tcW w:type="dxa" w:w="3408"/>
            <w:vAlign w:val="center"/>
          </w:tcPr>
          <w:p>
            <w:r>
              <w:t>Muestra etiqueta Oferta cuando el producto está en promoción.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T-19</w:t>
            </w:r>
          </w:p>
        </w:tc>
        <w:tc>
          <w:tcPr>
            <w:tcW w:type="dxa" w:w="3408"/>
            <w:vAlign w:val="center"/>
          </w:tcPr>
          <w:p>
            <w:r>
              <w:t>ProductCard.test.jsx</w:t>
            </w:r>
          </w:p>
        </w:tc>
        <w:tc>
          <w:tcPr>
            <w:tcW w:type="dxa" w:w="3408"/>
            <w:vAlign w:val="center"/>
          </w:tcPr>
          <w:p>
            <w:r>
              <w:t>Usa imagen de respaldo cuando el producto no tiene imagen.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T-20</w:t>
            </w:r>
          </w:p>
        </w:tc>
        <w:tc>
          <w:tcPr>
            <w:tcW w:type="dxa" w:w="3408"/>
            <w:vAlign w:val="center"/>
          </w:tcPr>
          <w:p>
            <w:r>
              <w:t>ProductCard.test.jsx</w:t>
            </w:r>
          </w:p>
        </w:tc>
        <w:tc>
          <w:tcPr>
            <w:tcW w:type="dxa" w:w="3408"/>
            <w:vAlign w:val="center"/>
          </w:tcPr>
          <w:p>
            <w:r>
              <w:t>Deshabilita el botón y muestra Agotado cuando stock es 0.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T-21</w:t>
            </w:r>
          </w:p>
        </w:tc>
        <w:tc>
          <w:tcPr>
            <w:tcW w:type="dxa" w:w="3408"/>
            <w:vAlign w:val="center"/>
          </w:tcPr>
          <w:p>
            <w:r>
              <w:t>ProductCard.test.jsx</w:t>
            </w:r>
          </w:p>
        </w:tc>
        <w:tc>
          <w:tcPr>
            <w:tcW w:type="dxa" w:w="3408"/>
            <w:vAlign w:val="center"/>
          </w:tcPr>
          <w:p>
            <w:r>
              <w:t>Ejecuta callback y agrega al carrito al presionar Agregar +.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T-22</w:t>
            </w:r>
          </w:p>
        </w:tc>
        <w:tc>
          <w:tcPr>
            <w:tcW w:type="dxa" w:w="3408"/>
            <w:vAlign w:val="center"/>
          </w:tcPr>
          <w:p>
            <w:r>
              <w:t>Register.test.jsx</w:t>
            </w:r>
          </w:p>
        </w:tc>
        <w:tc>
          <w:tcPr>
            <w:tcW w:type="dxa" w:w="3408"/>
            <w:vAlign w:val="center"/>
          </w:tcPr>
          <w:p>
            <w:r>
              <w:t>Actualiza estado de campos al introducir texto.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T-23</w:t>
            </w:r>
          </w:p>
        </w:tc>
        <w:tc>
          <w:tcPr>
            <w:tcW w:type="dxa" w:w="3408"/>
            <w:vAlign w:val="center"/>
          </w:tcPr>
          <w:p>
            <w:r>
              <w:t>Register.test.jsx</w:t>
            </w:r>
          </w:p>
        </w:tc>
        <w:tc>
          <w:tcPr>
            <w:tcW w:type="dxa" w:w="3408"/>
            <w:vAlign w:val="center"/>
          </w:tcPr>
          <w:p>
            <w:r>
              <w:t>Muestra error cuando las contraseñas no coinciden.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T-24</w:t>
            </w:r>
          </w:p>
        </w:tc>
        <w:tc>
          <w:tcPr>
            <w:tcW w:type="dxa" w:w="3408"/>
            <w:vAlign w:val="center"/>
          </w:tcPr>
          <w:p>
            <w:r>
              <w:t>Register.test.jsx</w:t>
            </w:r>
          </w:p>
        </w:tc>
        <w:tc>
          <w:tcPr>
            <w:tcW w:type="dxa" w:w="3408"/>
            <w:vAlign w:val="center"/>
          </w:tcPr>
          <w:p>
            <w:r>
              <w:t>Llama a register con datos cuando las contraseñas coinciden.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T-25</w:t>
            </w:r>
          </w:p>
        </w:tc>
        <w:tc>
          <w:tcPr>
            <w:tcW w:type="dxa" w:w="3408"/>
            <w:vAlign w:val="center"/>
          </w:tcPr>
          <w:p>
            <w:r>
              <w:t>format.test.js</w:t>
            </w:r>
          </w:p>
        </w:tc>
        <w:tc>
          <w:tcPr>
            <w:tcW w:type="dxa" w:w="3408"/>
            <w:vAlign w:val="center"/>
          </w:tcPr>
          <w:p>
            <w:r>
              <w:t>Convierte número a pesos chilenos mediante formatCLP.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T-26</w:t>
            </w:r>
          </w:p>
        </w:tc>
        <w:tc>
          <w:tcPr>
            <w:tcW w:type="dxa" w:w="3408"/>
            <w:vAlign w:val="center"/>
          </w:tcPr>
          <w:p>
            <w:r>
              <w:t>format.test.js</w:t>
            </w:r>
          </w:p>
        </w:tc>
        <w:tc>
          <w:tcPr>
            <w:tcW w:type="dxa" w:w="3408"/>
            <w:vAlign w:val="center"/>
          </w:tcPr>
          <w:p>
            <w:r>
              <w:t>Calcula cantidad total de ítems del carrito.</w:t>
            </w:r>
          </w:p>
        </w:tc>
      </w:tr>
      <w:tr>
        <w:tc>
          <w:tcPr>
            <w:tcW w:type="dxa" w:w="3408"/>
            <w:vAlign w:val="center"/>
          </w:tcPr>
          <w:p>
            <w:r>
              <w:t>T-27</w:t>
            </w:r>
          </w:p>
        </w:tc>
        <w:tc>
          <w:tcPr>
            <w:tcW w:type="dxa" w:w="3408"/>
            <w:vAlign w:val="center"/>
          </w:tcPr>
          <w:p>
            <w:r>
              <w:t>format.test.js</w:t>
            </w:r>
          </w:p>
        </w:tc>
        <w:tc>
          <w:tcPr>
            <w:tcW w:type="dxa" w:w="3408"/>
            <w:vAlign w:val="center"/>
          </w:tcPr>
          <w:p>
            <w:r>
              <w:t>Calcula precio total del carrito.</w:t>
            </w:r>
          </w:p>
        </w:tc>
      </w:tr>
    </w:tbl>
    <w:p>
      <w:pPr>
        <w:pStyle w:val="Heading1"/>
      </w:pPr>
      <w:r>
        <w:t>4. Correcciones incorporadas en esta actualización</w:t>
      </w:r>
    </w:p>
    <w:p>
      <w:r>
        <w:t>Se incorporaron los ajustes de las pruebas de Contact y Login y la captura aportada por el equipo confirma la ejecución satisfactoria de la suite: 7 archivos aprobados y 28 pruebas aprobadas.</w:t>
      </w:r>
    </w:p>
    <w:p>
      <w:pPr>
        <w:pStyle w:val="Heading1"/>
      </w:pPr>
      <w:r>
        <w:t>5. Cobertura y resultados</w:t>
      </w:r>
    </w:p>
    <w:p>
      <w:r>
        <w:t>La captura acredita la ejecución de las pruebas unitarias, pero no muestra los porcentajes de cobertura de sentencias, ramas, funciones o líneas. Esos porcentajes deben obtenerse mediante npm run test:cobertura y no se estiman a partir de esta captura.</w:t>
      </w:r>
    </w:p>
    <w:p>
      <w:pPr>
        <w:pStyle w:val="ListBullet"/>
      </w:pPr>
      <w:r>
        <w:t>Pruebas ejecutadas y aprobadas: 28.</w:t>
      </w:r>
    </w:p>
    <w:p>
      <w:pPr>
        <w:pStyle w:val="ListBullet"/>
      </w:pPr>
      <w:r>
        <w:t>Archivos de prueba: 7.</w:t>
      </w:r>
    </w:p>
    <w:p>
      <w:pPr>
        <w:pStyle w:val="ListBullet"/>
      </w:pPr>
      <w:r>
        <w:t>Pruebas aprobadas / fallidas: 28 aprobadas / 0 fallidas, según la captura de ejecución adjunta.</w:t>
      </w:r>
    </w:p>
    <w:p>
      <w:pPr>
        <w:pStyle w:val="ListBullet"/>
      </w:pPr>
      <w:r>
        <w:t>Cobertura de sentencias / ramas / funciones / líneas: pendiente del reporte generado.</w:t>
      </w:r>
    </w:p>
    <w:p>
      <w:pPr>
        <w:pStyle w:val="ListBullet"/>
      </w:pPr>
      <w:r>
        <w:t>Evidencia de ejecución de terminal: adjunta en la sección 8. Reporte HTML de cobertura (coverage/index.html): pendiente de adjuntar.</w:t>
      </w:r>
    </w:p>
    <w:p>
      <w:pPr>
        <w:pStyle w:val="Heading1"/>
      </w:pPr>
      <w:r>
        <w:t>6. Análisis de alcance</w:t>
      </w:r>
    </w:p>
    <w:p>
      <w:r>
        <w:t>Las pruebas cubren renderizado y renderizado condicional, propiedades, callbacks, eventos de navegación, contador de carrito, cambios de estado en formularios, validación de datos, respuestas simuladas de autenticación y funciones de formato/cálculo. Los mocks aíslan componentes de dependencias de contextos y servicios. No se identifican pruebas en este conjunto para hooks de datos, persistencia, validación completa del checkout ni todas las operaciones CRUD administrativas.</w:t>
      </w:r>
    </w:p>
    <w:p>
      <w:r>
        <w:t>La medición de cobertura actual excluye src/data. Por lo tanto, cualquier porcentaje obtenido con la configuración vigente solo representa los archivos incluidos en vite.config.js y no todo el código fuente del proyecto.</w:t>
      </w:r>
    </w:p>
    <w:p>
      <w:pPr>
        <w:pStyle w:val="Heading1"/>
      </w:pPr>
      <w:r>
        <w:t>7. Procedimiento para cerrar la medición</w:t>
      </w:r>
    </w:p>
    <w:p>
      <w:pPr>
        <w:pStyle w:val="ListNumber"/>
      </w:pPr>
      <w:r>
        <w:t>En la carpeta del proyecto, ejecutar npm install si aún no están instaladas las dependencias.</w:t>
      </w:r>
    </w:p>
    <w:p>
      <w:pPr>
        <w:pStyle w:val="ListNumber"/>
      </w:pPr>
      <w:r>
        <w:t>Ejecutar npm run test:ejecutar y corregir cualquier caso fallido.</w:t>
      </w:r>
    </w:p>
    <w:p>
      <w:pPr>
        <w:pStyle w:val="ListNumber"/>
      </w:pPr>
      <w:r>
        <w:t>Ejecutar npm run test:cobertura.</w:t>
      </w:r>
    </w:p>
    <w:p>
      <w:pPr>
        <w:pStyle w:val="ListNumber"/>
      </w:pPr>
      <w:r>
        <w:t>Registrar desde la misma ejecución los totales de Test Files, Tests, duración y porcentajes de Statements, Branches, Functions y Lines.</w:t>
      </w:r>
    </w:p>
    <w:p>
      <w:pPr>
        <w:pStyle w:val="ListNumber"/>
      </w:pPr>
      <w:r>
        <w:t>Abrir coverage/index.html y guardar una captura del resumen global y, si corresponde, de archivos con líneas o ramas no cubiertas.</w:t>
      </w:r>
    </w:p>
    <w:p>
      <w:pPr>
        <w:pStyle w:val="ListNumber"/>
      </w:pPr>
      <w:r>
        <w:t>Completar las métricas de cobertura y adjuntar una captura del resumen de coverage/index.html.</w:t>
      </w:r>
    </w:p>
    <w:p>
      <w:pPr>
        <w:pStyle w:val="Heading1"/>
      </w:pPr>
      <w:r>
        <w:t>8. Conclusión</w:t>
      </w:r>
    </w:p>
    <w:p>
      <w:r>
        <w:t>El proyecto cuenta con 28 pruebas unitarias aprobadas distribuidas en siete archivos, según la captura de ejecución proporcionada por el equipo. Se utiliza Vitest y React Testing Library, conforme a la indicación del docente de reemplazar Jasmine y Karma. La captura demuestra el resultado de la suite, pero no informa porcentajes de cobertura; estos deben completarse con la salida específica de npm run test:cobertura.</w:t>
      </w:r>
    </w:p>
    <w:p>
      <w:pPr>
        <w:pStyle w:val="Heading1"/>
      </w:pPr>
      <w:r>
        <w:t>9. Métricas de cobertura de código</w:t>
      </w:r>
    </w:p>
    <w:p>
      <w:r>
        <w:t>Los porcentajes de sentencias, ramas, funciones y líneas no aparecen en la captura recibida. Por ello permanecen pendientes y no se declara un porcentaje global de cobertura.</w:t>
      </w:r>
    </w:p>
    <w:p>
      <w:pPr>
        <w:pStyle w:val="Heading1"/>
      </w:pPr>
      <w:r>
        <w:t>10. Comandos de referencia</w:t>
      </w:r>
    </w:p>
    <w:p>
      <w:r>
        <w:rPr>
          <w:rFonts w:ascii="Consolas" w:hAnsi="Consolas"/>
          <w:b/>
          <w:sz w:val="20"/>
        </w:rPr>
        <w:t>npm run test:ejecutar</w:t>
      </w:r>
    </w:p>
    <w:p>
      <w:r>
        <w:rPr>
          <w:rFonts w:ascii="Consolas" w:hAnsi="Consolas"/>
          <w:b/>
          <w:sz w:val="20"/>
        </w:rPr>
        <w:t>npm run test:cobertura</w:t>
      </w:r>
    </w:p>
    <w:p>
      <w:pPr>
        <w:pStyle w:val="Heading1"/>
      </w:pPr>
      <w:r>
        <w:t>8. Evidencia de ejecución de pruebas</w:t>
      </w:r>
    </w:p>
    <w:p>
      <w:pPr>
        <w:jc w:val="both"/>
      </w:pPr>
      <w:r>
        <w:t>La siguiente captura, proporcionada por el equipo, muestra el resultado de la ejecución: Test Files 7 passed (7) y Tests 28 passed (28). No aparecen pruebas fallidas.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4637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31-020925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6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Resultado de ejecución de Vitest informado por el equipo.</w:t>
      </w:r>
    </w:p>
    <w:p>
      <w:pPr>
        <w:jc w:val="both"/>
      </w:pPr>
      <w:r>
        <w:t>Nota: esta imagen acredita pruebas aprobadas, no el porcentaje de cobertura de código. Para completar ese indicador se debe ejecutar npm run test:cobertura y adjuntar el resumen generado por el proveedor de cobertura.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53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53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536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