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СТАТИСТИЧЕСКИЙ ОТЧЁТ</w:t>
      </w:r>
    </w:p>
    <w:p>
      <w:pPr>
        <w:jc w:val="center"/>
      </w:pPr>
      <w:r>
        <w:t>Клиническое исследование эффективности магнитотерапии</w:t>
        <w:br/>
        <w:t>при болезни Паркинсона (ДИАМАГ)</w:t>
      </w:r>
    </w:p>
    <w:p>
      <w:pPr>
        <w:jc w:val="center"/>
      </w:pPr>
      <w:r>
        <w:t>Дата генерации: 22.01.2026 22:35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Описание выборки (Table 1)</w:t>
      </w:r>
    </w:p>
    <w:p>
      <w:r>
        <w:t>2. Первичные конечные точки</w:t>
      </w:r>
    </w:p>
    <w:p>
      <w:r>
        <w:t>3. Вторичные конечные точки</w:t>
      </w:r>
    </w:p>
    <w:p>
      <w:r>
        <w:t>4. Анализ респондеров</w:t>
      </w:r>
    </w:p>
    <w:p>
      <w:r>
        <w:t>5. Заключение</w:t>
      </w:r>
    </w:p>
    <w:p>
      <w:r>
        <w:br w:type="page"/>
      </w:r>
    </w:p>
    <w:p>
      <w:pPr>
        <w:pStyle w:val="Heading1"/>
      </w:pPr>
      <w:r>
        <w:t>1. ОПИСАНИЕ ВЫБОРКИ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 (n=12)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 (n=10)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 (n=11)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 (n=11)</w:t>
            </w:r>
          </w:p>
        </w:tc>
      </w:tr>
      <w:tr>
        <w:tc>
          <w:tcPr>
            <w:tcW w:type="dxa" w:w="1728"/>
          </w:tcPr>
          <w:p>
            <w:r>
              <w:t>Возраст, лет (M ± SD)</w:t>
            </w:r>
          </w:p>
        </w:tc>
        <w:tc>
          <w:tcPr>
            <w:tcW w:type="dxa" w:w="1728"/>
          </w:tcPr>
          <w:p>
            <w:r>
              <w:t>64.5 ± 6.6</w:t>
            </w:r>
          </w:p>
        </w:tc>
        <w:tc>
          <w:tcPr>
            <w:tcW w:type="dxa" w:w="1728"/>
          </w:tcPr>
          <w:p>
            <w:r>
              <w:t>67.5 ± 3.2</w:t>
            </w:r>
          </w:p>
        </w:tc>
        <w:tc>
          <w:tcPr>
            <w:tcW w:type="dxa" w:w="1728"/>
          </w:tcPr>
          <w:p>
            <w:r>
              <w:t>68.5 ± 6.3</w:t>
            </w:r>
          </w:p>
        </w:tc>
        <w:tc>
          <w:tcPr>
            <w:tcW w:type="dxa" w:w="1728"/>
          </w:tcPr>
          <w:p>
            <w:r>
              <w:t>64.5 ± 5.4</w:t>
            </w:r>
          </w:p>
        </w:tc>
      </w:tr>
      <w:tr>
        <w:tc>
          <w:tcPr>
            <w:tcW w:type="dxa" w:w="1728"/>
          </w:tcPr>
          <w:p>
            <w:r>
              <w:t>Пол (М/Ж)</w:t>
            </w:r>
          </w:p>
        </w:tc>
        <w:tc>
          <w:tcPr>
            <w:tcW w:type="dxa" w:w="1728"/>
          </w:tcPr>
          <w:p>
            <w:r>
              <w:t>6/0</w:t>
            </w:r>
          </w:p>
        </w:tc>
        <w:tc>
          <w:tcPr>
            <w:tcW w:type="dxa" w:w="1728"/>
          </w:tcPr>
          <w:p>
            <w:r>
              <w:t>0/0</w:t>
            </w:r>
          </w:p>
        </w:tc>
        <w:tc>
          <w:tcPr>
            <w:tcW w:type="dxa" w:w="1728"/>
          </w:tcPr>
          <w:p>
            <w:r>
              <w:t>3/2</w:t>
            </w:r>
          </w:p>
        </w:tc>
        <w:tc>
          <w:tcPr>
            <w:tcW w:type="dxa" w:w="1728"/>
          </w:tcPr>
          <w:p>
            <w:r>
              <w:t>3/2</w:t>
            </w:r>
          </w:p>
        </w:tc>
      </w:tr>
      <w:tr>
        <w:tc>
          <w:tcPr>
            <w:tcW w:type="dxa" w:w="1728"/>
          </w:tcPr>
          <w:p>
            <w:r>
              <w:t>UPDRS III (V2), баллы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</w:tbl>
    <w:p>
      <w:r>
        <w:br w:type="page"/>
      </w:r>
    </w:p>
    <w:p>
      <w:pPr>
        <w:pStyle w:val="Heading1"/>
      </w:pPr>
      <w:r>
        <w:t>2. ПЕРВИЧНЫЕ КОНЕЧНЫЕ ТОЧКИ</w:t>
      </w:r>
    </w:p>
    <w:p>
      <w:pPr>
        <w:pStyle w:val="Heading2"/>
      </w:pPr>
      <w:r>
        <w:t>УШОБП часть 2 (Повседневная активность)</w:t>
      </w:r>
    </w:p>
    <w:p>
      <w:r>
        <w:t>Kruskal-Wallis: H = 0.31, p = 0.959. Различия между группами статистически не значимы.</w:t>
      </w:r>
    </w:p>
    <w:p>
      <w:r>
        <w:t>Размер эффекта (ε²) = -0.067 (средний)</w:t>
      </w:r>
    </w:p>
    <w:p>
      <w:r>
        <w:t>Bayes Factor (BF₁₀) = 9.09 (умеренное свидетельство в пользу H1)</w:t>
      </w:r>
    </w:p>
    <w:p/>
    <w:p>
      <w:r>
        <w:rPr>
          <w:b/>
        </w:rPr>
        <w:t>Описательные статистики по визитам: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6.5 [5.8–8.0]</w:t>
            </w:r>
          </w:p>
        </w:tc>
        <w:tc>
          <w:tcPr>
            <w:tcW w:type="dxa" w:w="1728"/>
          </w:tcPr>
          <w:p>
            <w:r>
              <w:t>7.5 [6.0–8.0]</w:t>
            </w:r>
          </w:p>
        </w:tc>
        <w:tc>
          <w:tcPr>
            <w:tcW w:type="dxa" w:w="1728"/>
          </w:tcPr>
          <w:p>
            <w:r>
              <w:t>6.0 [2.0–7.5]</w:t>
            </w:r>
          </w:p>
        </w:tc>
        <w:tc>
          <w:tcPr>
            <w:tcW w:type="dxa" w:w="1728"/>
          </w:tcPr>
          <w:p>
            <w:r>
              <w:t>6.0 [3.5–9.0]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6.0 [4.5–7.0]</w:t>
            </w:r>
          </w:p>
        </w:tc>
        <w:tc>
          <w:tcPr>
            <w:tcW w:type="dxa" w:w="1728"/>
          </w:tcPr>
          <w:p>
            <w:r>
              <w:t>7.0 [6.0–7.0]</w:t>
            </w:r>
          </w:p>
        </w:tc>
        <w:tc>
          <w:tcPr>
            <w:tcW w:type="dxa" w:w="1728"/>
          </w:tcPr>
          <w:p>
            <w:r>
              <w:t>5.0 [2.0–8.0]</w:t>
            </w:r>
          </w:p>
        </w:tc>
        <w:tc>
          <w:tcPr>
            <w:tcW w:type="dxa" w:w="1728"/>
          </w:tcPr>
          <w:p>
            <w:r>
              <w:t>6.0 [3.0–8.5]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5.0 [4.5–6.2]</w:t>
            </w:r>
          </w:p>
        </w:tc>
        <w:tc>
          <w:tcPr>
            <w:tcW w:type="dxa" w:w="1728"/>
          </w:tcPr>
          <w:p>
            <w:r>
              <w:t>6.0 [5.2–6.8]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[3.0–8.0]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5.0 [4.5–6.0]</w:t>
            </w:r>
          </w:p>
        </w:tc>
        <w:tc>
          <w:tcPr>
            <w:tcW w:type="dxa" w:w="1728"/>
          </w:tcPr>
          <w:p>
            <w:r>
              <w:t>5.5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[3.0–7.0]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5.0 [3.8–6.2]</w:t>
            </w:r>
          </w:p>
        </w:tc>
        <w:tc>
          <w:tcPr>
            <w:tcW w:type="dxa" w:w="1728"/>
          </w:tcPr>
          <w:p>
            <w:r>
              <w:t>5.0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5.0 [3.0–7.0]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spaghet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 в ходе исследования (M ± SE)</w:t>
      </w:r>
    </w:p>
    <w:p>
      <w:r>
        <w:br w:type="page"/>
      </w:r>
    </w:p>
    <w:p>
      <w:pPr>
        <w:pStyle w:val="Heading2"/>
      </w:pPr>
      <w:r>
        <w:t>УШОБП часть 3 (Двигательные функции)</w:t>
      </w:r>
    </w:p>
    <w:p>
      <w:r>
        <w:t>Kruskal-Wallis: H = 2.21, p = 0.530. Различия между группами статистически не значимы.</w:t>
      </w:r>
    </w:p>
    <w:p>
      <w:r>
        <w:t>Размер эффекта (ε²) = -0.020 (малый)</w:t>
      </w:r>
    </w:p>
    <w:p>
      <w:r>
        <w:t>Bayes Factor (BF₁₀) = 1.09 (слабое свидетельство в пользу H1)</w:t>
      </w:r>
    </w:p>
    <w:p/>
    <w:p>
      <w:r>
        <w:rPr>
          <w:b/>
        </w:rPr>
        <w:t>Описательные статистики по визитам: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10.0 [9.8–11.8]</w:t>
            </w:r>
          </w:p>
        </w:tc>
        <w:tc>
          <w:tcPr>
            <w:tcW w:type="dxa" w:w="1728"/>
          </w:tcPr>
          <w:p>
            <w:r>
              <w:t>10.0 [9.0–12.0]</w:t>
            </w:r>
          </w:p>
        </w:tc>
        <w:tc>
          <w:tcPr>
            <w:tcW w:type="dxa" w:w="1728"/>
          </w:tcPr>
          <w:p>
            <w:r>
              <w:t>9.0 [5.0–14.0]</w:t>
            </w:r>
          </w:p>
        </w:tc>
        <w:tc>
          <w:tcPr>
            <w:tcW w:type="dxa" w:w="1728"/>
          </w:tcPr>
          <w:p>
            <w:r>
              <w:t>11.0 [8.0–15.5]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10.0 [9.0–10.2]</w:t>
            </w:r>
          </w:p>
        </w:tc>
        <w:tc>
          <w:tcPr>
            <w:tcW w:type="dxa" w:w="1728"/>
          </w:tcPr>
          <w:p>
            <w:r>
              <w:t>9.0 [8.0–11.5]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10.0 [7.5–14.5]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9.0 [7.0–10.0]</w:t>
            </w:r>
          </w:p>
        </w:tc>
        <w:tc>
          <w:tcPr>
            <w:tcW w:type="dxa" w:w="1728"/>
          </w:tcPr>
          <w:p>
            <w:r>
              <w:t>8.5 [7.0–9.8]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9.5 [6.0–10.2]</w:t>
            </w:r>
          </w:p>
        </w:tc>
        <w:tc>
          <w:tcPr>
            <w:tcW w:type="dxa" w:w="1728"/>
          </w:tcPr>
          <w:p>
            <w:r>
              <w:t>7.5 [7.0–9.0]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6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spaghet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III в ходе исследования (M ± SE)</w:t>
      </w:r>
    </w:p>
    <w:p>
      <w:r>
        <w:br w:type="page"/>
      </w:r>
    </w:p>
    <w:p>
      <w:pPr>
        <w:pStyle w:val="Heading1"/>
      </w:pPr>
      <w:r>
        <w:t>3. ВТОРИЧНЫЕ КОНЕЧНЫЕ 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 (K-W)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Интерпретация</w:t>
            </w:r>
          </w:p>
        </w:tc>
      </w:tr>
      <w:tr>
        <w:tc>
          <w:tcPr>
            <w:tcW w:type="dxa" w:w="2160"/>
          </w:tcPr>
          <w:p>
            <w:r>
              <w:t>DASS-21</w:t>
            </w:r>
          </w:p>
        </w:tc>
        <w:tc>
          <w:tcPr>
            <w:tcW w:type="dxa" w:w="2160"/>
          </w:tcPr>
          <w:p>
            <w:r>
              <w:t>20.27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Значимо</w:t>
            </w:r>
          </w:p>
        </w:tc>
      </w:tr>
      <w:tr>
        <w:tc>
          <w:tcPr>
            <w:tcW w:type="dxa" w:w="2160"/>
          </w:tcPr>
          <w:p>
            <w:r>
              <w:t>Epworth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0.844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  <w:tr>
        <w:tc>
          <w:tcPr>
            <w:tcW w:type="dxa" w:w="2160"/>
          </w:tcPr>
          <w:p>
            <w:r>
              <w:t>Apathy</w:t>
            </w:r>
          </w:p>
        </w:tc>
        <w:tc>
          <w:tcPr>
            <w:tcW w:type="dxa" w:w="2160"/>
          </w:tcPr>
          <w:p>
            <w:r>
              <w:t>6.21</w:t>
            </w:r>
          </w:p>
        </w:tc>
        <w:tc>
          <w:tcPr>
            <w:tcW w:type="dxa" w:w="2160"/>
          </w:tcPr>
          <w:p>
            <w:r>
              <w:t>0.102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  <w:tr>
        <w:tc>
          <w:tcPr>
            <w:tcW w:type="dxa" w:w="2160"/>
          </w:tcPr>
          <w:p>
            <w:r>
              <w:t>Fatigue</w:t>
            </w:r>
          </w:p>
        </w:tc>
        <w:tc>
          <w:tcPr>
            <w:tcW w:type="dxa" w:w="2160"/>
          </w:tcPr>
          <w:p>
            <w:r>
              <w:t>5.06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  <w:tr>
        <w:tc>
          <w:tcPr>
            <w:tcW w:type="dxa" w:w="2160"/>
          </w:tcPr>
          <w:p>
            <w:r>
              <w:t>PDQ-39</w:t>
            </w:r>
          </w:p>
        </w:tc>
        <w:tc>
          <w:tcPr>
            <w:tcW w:type="dxa" w:w="2160"/>
          </w:tcPr>
          <w:p>
            <w:r>
              <w:t>7.14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</w:tbl>
    <w:p>
      <w:pPr>
        <w:pStyle w:val="Heading2"/>
      </w:pPr>
      <w:r>
        <w:t>DASS-21 (Депрессия, тревога, стресс)</w:t>
      </w:r>
    </w:p>
    <w:p>
      <w:r>
        <w:t>Kruskal-Wallis: H = 20.27, p = &lt;0.001</w:t>
      </w:r>
    </w:p>
    <w:p>
      <w:r>
        <w:drawing>
          <wp:inline xmlns:a="http://schemas.openxmlformats.org/drawingml/2006/main" xmlns:pic="http://schemas.openxmlformats.org/drawingml/2006/picture">
            <wp:extent cx="5029200" cy="2488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s21_spaghett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сонливости Эпуорта</w:t>
      </w:r>
    </w:p>
    <w:p>
      <w:r>
        <w:t>Kruskal-Wallis: H = 0.82, p = 0.844</w:t>
      </w:r>
    </w:p>
    <w:p>
      <w:r>
        <w:drawing>
          <wp:inline xmlns:a="http://schemas.openxmlformats.org/drawingml/2006/main" xmlns:pic="http://schemas.openxmlformats.org/drawingml/2006/picture">
            <wp:extent cx="5029200" cy="248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worth_spaghett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апатии Старкстейна</w:t>
      </w:r>
    </w:p>
    <w:p>
      <w:r>
        <w:t>Kruskal-Wallis: H = 6.21, p = 0.102</w:t>
      </w:r>
    </w:p>
    <w:p>
      <w:r>
        <w:drawing>
          <wp:inline xmlns:a="http://schemas.openxmlformats.org/drawingml/2006/main" xmlns:pic="http://schemas.openxmlformats.org/drawingml/2006/picture">
            <wp:extent cx="5029200" cy="24898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thy_spaghett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утомляемости при БП</w:t>
      </w:r>
    </w:p>
    <w:p>
      <w:r>
        <w:t>Kruskal-Wallis: H = 5.06, p = 0.167</w:t>
      </w:r>
    </w:p>
    <w:p>
      <w:r>
        <w:drawing>
          <wp:inline xmlns:a="http://schemas.openxmlformats.org/drawingml/2006/main" xmlns:pic="http://schemas.openxmlformats.org/drawingml/2006/picture">
            <wp:extent cx="5029200" cy="248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igue_spaghett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PDQ-39 (Качество жизни при БП)</w:t>
      </w:r>
    </w:p>
    <w:p>
      <w:r>
        <w:t>Kruskal-Wallis: H = 7.14, p = 0.068</w:t>
      </w:r>
    </w:p>
    <w:p>
      <w:r>
        <w:drawing>
          <wp:inline xmlns:a="http://schemas.openxmlformats.org/drawingml/2006/main" xmlns:pic="http://schemas.openxmlformats.org/drawingml/2006/picture">
            <wp:extent cx="5029200" cy="248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q39_spaghett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АНАЛИЗ РЕСПОНДЕРОВ</w:t>
      </w:r>
    </w:p>
    <w:p>
      <w:r>
        <w:t>Критерий ответа: улучшение UPDRS III ≥ 20% от исходного уровня (V2 → V6)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Респондеры, 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Респондеры, %</w:t>
            </w:r>
          </w:p>
        </w:tc>
      </w:tr>
      <w:tr>
        <w:tc>
          <w:tcPr>
            <w:tcW w:type="dxa" w:w="2160"/>
          </w:tcPr>
          <w:p>
            <w:r>
              <w:t>Группа 1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Группа 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</w:tr>
      <w:tr>
        <w:tc>
          <w:tcPr>
            <w:tcW w:type="dxa" w:w="2160"/>
          </w:tcPr>
          <w:p>
            <w:r>
              <w:t>Группа 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</w:tr>
      <w:tr>
        <w:tc>
          <w:tcPr>
            <w:tcW w:type="dxa" w:w="2160"/>
          </w:tcPr>
          <w:p>
            <w:r>
              <w:t>Группа 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</w:tr>
    </w:tbl>
    <w:p/>
    <w:p>
      <w:r>
        <w:t>Chi-square: p = 0.001</w:t>
      </w:r>
    </w:p>
    <w:p>
      <w:r>
        <w:br w:type="page"/>
      </w:r>
    </w:p>
    <w:p>
      <w:pPr>
        <w:pStyle w:val="Heading1"/>
      </w:pPr>
      <w:r>
        <w:t>5. ЗАКЛЮЧЕНИЕ</w:t>
      </w:r>
    </w:p>
    <w:p>
      <w:r>
        <w:t>На основании проведённого статистического анализа можно сделать следующие выводы:</w:t>
      </w:r>
    </w:p>
    <w:p>
      <w:r>
        <w:t>• По показателю UPDRS II статистически значимых различий между группами не выявлено (p = 0.959)</w:t>
      </w:r>
    </w:p>
    <w:p>
      <w:r>
        <w:t>• По показателю UPDRS III статистически значимых различий между группами не выявлено (p = 0.530)</w:t>
      </w:r>
    </w:p>
    <w:p/>
    <w:p>
      <w:r>
        <w:t>Отчёт сгенерирован автоматически с использованием StatWizard.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