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Статистический отчёт</w:t>
      </w:r>
    </w:p>
    <w:p>
      <w:r>
        <w:t>Файл данных: MockDataset.csv</w:t>
      </w:r>
    </w:p>
    <w:p/>
    <w:p>
      <w:pPr>
        <w:pStyle w:val="Heading2"/>
      </w:pPr>
      <w:r>
        <w:t>Результаты сравнительного анализа</w:t>
      </w:r>
    </w:p>
    <w:p>
      <w:r>
        <w:rPr>
          <w:b/>
        </w:rPr>
        <w:t xml:space="preserve">Метод: </w:t>
      </w:r>
      <w:r>
        <w:t>независимый t-критерий Стьюдента</w:t>
        <w:br/>
      </w:r>
      <w:r>
        <w:rPr>
          <w:b/>
        </w:rPr>
        <w:t xml:space="preserve">Статистика: </w:t>
      </w:r>
      <w:r>
        <w:t>2.100</w:t>
        <w:br/>
      </w:r>
      <w:r>
        <w:rPr>
          <w:b/>
        </w:rPr>
        <w:t xml:space="preserve">p-value: </w:t>
      </w:r>
      <w:r>
        <w:t>p=0.04</w:t>
      </w:r>
    </w:p>
    <w:p>
      <w:pPr>
        <w:pStyle w:val="Heading3"/>
      </w:pPr>
      <w:r>
        <w:t>Интерпретация</w:t>
      </w:r>
    </w:p>
    <w:p>
      <w:r>
        <w:t>При сравнении группы по показателю «Age» с использованием независимый t-критерий Стьюдента выявлены статистически значимые различия (p=0.04). Размер эффекта (d Коэна): 0.50 (средний).</w:t>
      </w:r>
    </w:p>
    <w:p>
      <w:r>
        <w:t>Выбор метода обоснован: данные соответствуют нормальному распределению.</w:t>
      </w:r>
    </w:p>
    <w:p>
      <w:r>
        <w:drawing>
          <wp:inline xmlns:a="http://schemas.openxmlformats.org/drawingml/2006/main" xmlns:pic="http://schemas.openxmlformats.org/drawingml/2006/picture">
            <wp:extent cx="5029200" cy="3352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Рис. Визуализация результатов</w:t>
      </w:r>
    </w:p>
    <w:p/>
    <w:p>
      <w:pPr>
        <w:pStyle w:val="Heading2"/>
      </w:pPr>
      <w:r>
        <w:t>Описательная статистика разностей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Переменные</w:t>
            </w:r>
          </w:p>
        </w:tc>
        <w:tc>
          <w:tcPr>
            <w:tcW w:type="dxa" w:w="2160"/>
          </w:tcPr>
          <w:p>
            <w:r>
              <w:rPr>
                <w:b/>
              </w:rPr>
              <w:t>Разность (M±SD)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Мин – Макс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</w:t>
            </w:r>
          </w:p>
        </w:tc>
      </w:tr>
      <w:tr>
        <w:tc>
          <w:tcPr>
            <w:tcW w:type="dxa" w:w="2160"/>
          </w:tcPr>
          <w:p>
            <w:r>
              <w:t>BP_Pre vs BP_Post</w:t>
            </w:r>
          </w:p>
        </w:tc>
        <w:tc>
          <w:tcPr>
            <w:tcW w:type="dxa" w:w="2160"/>
          </w:tcPr>
          <w:p>
            <w:r>
              <w:t>-5.00 ± 2.00</w:t>
            </w:r>
          </w:p>
        </w:tc>
        <w:tc>
          <w:tcPr>
            <w:tcW w:type="dxa" w:w="2160"/>
          </w:tcPr>
          <w:p>
            <w:r>
              <w:t>-8.00 – -2.00</w:t>
            </w:r>
          </w:p>
        </w:tc>
        <w:tc>
          <w:tcPr>
            <w:tcW w:type="dxa" w:w="2160"/>
          </w:tcPr>
          <w:p>
            <w:r>
              <w:t>10</w:t>
            </w:r>
          </w:p>
        </w:tc>
      </w:tr>
    </w:tbl>
    <w:p/>
    <w:p>
      <w:pPr>
        <w:pStyle w:val="Heading2"/>
      </w:pPr>
      <w:r>
        <w:t>Результаты сравнения (Связанные выборки)</w:t>
      </w:r>
    </w:p>
    <w:p>
      <w:r>
        <w:rPr>
          <w:b/>
        </w:rPr>
        <w:t xml:space="preserve">Метод: </w:t>
      </w:r>
      <w:r>
        <w:t>t_test_rel</w:t>
        <w:br/>
      </w:r>
      <w:r>
        <w:rPr>
          <w:b/>
        </w:rPr>
        <w:t xml:space="preserve">Статистика: </w:t>
      </w:r>
      <w:r>
        <w:t>-4.500</w:t>
        <w:br/>
      </w:r>
      <w:r>
        <w:rPr>
          <w:b/>
        </w:rPr>
        <w:t xml:space="preserve">p-value: </w:t>
      </w:r>
      <w:r>
        <w:t>p=0.001</w:t>
      </w:r>
    </w:p>
    <w:p>
      <w:pPr>
        <w:pStyle w:val="Heading3"/>
      </w:pPr>
      <w:r>
        <w:t>Интерпретация</w:t>
      </w:r>
    </w:p>
    <w:p>
      <w:r>
        <w:t>Согласно критерию t_test_rel, выявлены статистически значимые различия (p=p=0.001).</w:t>
      </w:r>
    </w:p>
    <w:p>
      <w:r>
        <w:drawing>
          <wp:inline xmlns:a="http://schemas.openxmlformats.org/drawingml/2006/main" xmlns:pic="http://schemas.openxmlformats.org/drawingml/2006/picture">
            <wp:extent cx="5029200" cy="3352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Рис. Визуализация результатов</w:t>
      </w:r>
    </w:p>
    <w:p/>
    <w:p>
      <w:pPr>
        <w:pStyle w:val="Heading2"/>
      </w:pPr>
      <w:r>
        <w:t>Таблица 1. Описательная статистика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Показатель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Группа A</w:t>
              <w:br/>
              <w:t>(n=10)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Группа B</w:t>
              <w:br/>
              <w:t>(n=10)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Всего</w:t>
              <w:br/>
              <w:t>(n=20)</w:t>
            </w:r>
          </w:p>
        </w:tc>
      </w:tr>
      <w:tr>
        <w:tc>
          <w:tcPr>
            <w:tcW w:type="dxa" w:w="2160"/>
          </w:tcPr>
          <w:p>
            <w:r>
              <w:t>Среднее (M)</w:t>
            </w:r>
          </w:p>
        </w:tc>
        <w:tc>
          <w:tcPr>
            <w:tcW w:type="dxa" w:w="2160"/>
          </w:tcPr>
          <w:p>
            <w:r>
              <w:t>30.00</w:t>
            </w:r>
          </w:p>
        </w:tc>
        <w:tc>
          <w:tcPr>
            <w:tcW w:type="dxa" w:w="2160"/>
          </w:tcPr>
          <w:p>
            <w:r>
              <w:t>35.00</w:t>
            </w:r>
          </w:p>
        </w:tc>
        <w:tc>
          <w:tcPr>
            <w:tcW w:type="dxa" w:w="2160"/>
          </w:tcPr>
          <w:p>
            <w:r>
              <w:t>32.50</w:t>
            </w:r>
          </w:p>
        </w:tc>
      </w:tr>
      <w:tr>
        <w:tc>
          <w:tcPr>
            <w:tcW w:type="dxa" w:w="2160"/>
          </w:tcPr>
          <w:p>
            <w:r>
              <w:t>Медиана (Me)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Станд. откл. (SD)</w:t>
            </w:r>
          </w:p>
        </w:tc>
        <w:tc>
          <w:tcPr>
            <w:tcW w:type="dxa" w:w="2160"/>
          </w:tcPr>
          <w:p>
            <w:r>
              <w:t>5.00</w:t>
            </w:r>
          </w:p>
        </w:tc>
        <w:tc>
          <w:tcPr>
            <w:tcW w:type="dxa" w:w="2160"/>
          </w:tcPr>
          <w:p>
            <w:r>
              <w:t>5.00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Мин – Макс</w:t>
            </w:r>
          </w:p>
        </w:tc>
        <w:tc>
          <w:tcPr>
            <w:tcW w:type="dxa" w:w="2160"/>
          </w:tcPr>
          <w:p>
            <w:r>
              <w:t>0.0 – 0.0</w:t>
            </w:r>
          </w:p>
        </w:tc>
        <w:tc>
          <w:tcPr>
            <w:tcW w:type="dxa" w:w="2160"/>
          </w:tcPr>
          <w:p>
            <w:r>
              <w:t>0.0 – 0.0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95% ДИ</w:t>
            </w:r>
          </w:p>
        </w:tc>
        <w:tc>
          <w:tcPr>
            <w:tcW w:type="dxa" w:w="2160"/>
          </w:tcPr>
          <w:p>
            <w:r>
              <w:t>[0.00; 0.00]</w:t>
            </w:r>
          </w:p>
        </w:tc>
        <w:tc>
          <w:tcPr>
            <w:tcW w:type="dxa" w:w="2160"/>
          </w:tcPr>
          <w:p>
            <w:r>
              <w:t>[0.00; 0.00]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