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Статистический отчёт</w:t>
      </w:r>
    </w:p>
    <w:p>
      <w:r>
        <w:t>Файл данных: TestRobustness.csv</w:t>
      </w:r>
    </w:p>
    <w:p/>
    <w:p>
      <w:pPr>
        <w:pStyle w:val="Heading2"/>
      </w:pPr>
      <w:r>
        <w:t>Correlation Matrix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Heatmap корреляций</w:t>
      </w:r>
    </w:p>
    <w:p>
      <w:pPr>
        <w:pStyle w:val="Heading2"/>
      </w:pPr>
      <w:r>
        <w:t>Результаты сравнительного анализа</w:t>
      </w:r>
    </w:p>
    <w:p>
      <w:r>
        <w:rPr>
          <w:b/>
        </w:rPr>
        <w:t xml:space="preserve">Метод: </w:t>
      </w:r>
      <w:r>
        <w:t>однофакторный дисперсионный анализ (ANOVA)</w:t>
        <w:br/>
      </w:r>
      <w:r>
        <w:rPr>
          <w:b/>
        </w:rPr>
        <w:t xml:space="preserve">Статистика: </w:t>
      </w:r>
      <w:r>
        <w:t>50.000</w:t>
        <w:br/>
      </w:r>
      <w:r>
        <w:rPr>
          <w:b/>
        </w:rPr>
        <w:t xml:space="preserve">p-value: </w:t>
      </w:r>
      <w:r>
        <w:t>p&lt;0.001</w:t>
      </w:r>
    </w:p>
    <w:p>
      <w:pPr>
        <w:pStyle w:val="Heading3"/>
      </w:pPr>
      <w:r>
        <w:t>Интерпретация</w:t>
      </w:r>
    </w:p>
    <w:p>
      <w:r>
        <w:t>При сравнении группы по показателю «step_anova» с использованием однофакторный дисперсионный анализ (ANOVA) выявлены статистически значимые различия (p&lt;0.001).</w:t>
      </w:r>
    </w:p>
    <w:p>
      <w:r>
        <w:t>Выбор метода обоснован: данные соответствуют нормальному распределению.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