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B4C3" w14:textId="77777777" w:rsidR="00CA0284" w:rsidRDefault="00000000">
      <w:pPr>
        <w:pStyle w:val="Heading1"/>
      </w:pPr>
      <w:r>
        <w:t>Transparent eCom</w:t>
      </w:r>
      <w:r>
        <w:br/>
        <w:t>Company Stage &amp; Strategic Priority Segments</w:t>
      </w:r>
    </w:p>
    <w:p w14:paraId="28667170" w14:textId="77777777" w:rsidR="00CA0284" w:rsidRDefault="00000000">
      <w:pPr>
        <w:pStyle w:val="Heading2"/>
      </w:pPr>
      <w:r>
        <w:t>Tier 1 — Multi-State Cannabis Operators (MSOs)</w:t>
      </w:r>
    </w:p>
    <w:p w14:paraId="7D1A8BEF" w14:textId="77777777" w:rsidR="00CA0284" w:rsidRDefault="00000000">
      <w:r>
        <w:t>Primary Strategic Focus. We prioritize licensed multi-state cannabis operators with durable infrastructure and multi-market scale potential. Our compliance ad account backbone enables more direct cannabis advertising without relying on blurred imagery or coded language.</w:t>
      </w:r>
    </w:p>
    <w:p w14:paraId="7E773D24" w14:textId="77777777" w:rsidR="00CA0284" w:rsidRDefault="00000000">
      <w:pPr>
        <w:pStyle w:val="Heading2"/>
      </w:pPr>
      <w:r>
        <w:t>Tier 2 — High-Growth Regulated Brands</w:t>
      </w:r>
    </w:p>
    <w:p w14:paraId="3F718EE1" w14:textId="77777777" w:rsidR="00CA0284" w:rsidRDefault="00000000">
      <w:r>
        <w:t>Includes single-state cannabis operators, vertically integrated brands, hemp-derived THC brands, functional mushroom brands, nicotine alternatives, and alcohol alternatives. We work with growth-focused operators building durable, long-term businesses.</w:t>
      </w:r>
    </w:p>
    <w:p w14:paraId="028330DF" w14:textId="77777777" w:rsidR="00CA0284" w:rsidRDefault="00000000">
      <w:pPr>
        <w:pStyle w:val="Heading2"/>
      </w:pPr>
      <w:r>
        <w:t>Tier 3 — Complex Restricted Categories</w:t>
      </w:r>
    </w:p>
    <w:p w14:paraId="7DF69A66" w14:textId="77777777" w:rsidR="00CA0284" w:rsidRDefault="00000000">
      <w:r>
        <w:t>Includes gambling, sports betting, dating platforms, and other high-restriction verticals. We engage selectively where structured risk management and platform fluency are required.</w:t>
      </w:r>
    </w:p>
    <w:p w14:paraId="788E2E85" w14:textId="77777777" w:rsidR="00CA0284" w:rsidRDefault="00000000">
      <w:pPr>
        <w:pStyle w:val="Heading2"/>
      </w:pPr>
      <w:r>
        <w:t>Who We’re Not For</w:t>
      </w:r>
    </w:p>
    <w:p w14:paraId="019B91A4" w14:textId="77777777" w:rsidR="00CA0284" w:rsidRDefault="00000000">
      <w:r>
        <w:t>• Short-term loophole seekers</w:t>
      </w:r>
      <w:r>
        <w:br/>
        <w:t>• Operators willing to risk shutdown for quick wins</w:t>
      </w:r>
      <w:r>
        <w:br/>
        <w:t>• Brands unwilling to invest in compliance infrastructure</w:t>
      </w:r>
    </w:p>
    <w:sectPr w:rsidR="00CA02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434834">
    <w:abstractNumId w:val="8"/>
  </w:num>
  <w:num w:numId="2" w16cid:durableId="1935894580">
    <w:abstractNumId w:val="6"/>
  </w:num>
  <w:num w:numId="3" w16cid:durableId="1101531049">
    <w:abstractNumId w:val="5"/>
  </w:num>
  <w:num w:numId="4" w16cid:durableId="683550864">
    <w:abstractNumId w:val="4"/>
  </w:num>
  <w:num w:numId="5" w16cid:durableId="808520453">
    <w:abstractNumId w:val="7"/>
  </w:num>
  <w:num w:numId="6" w16cid:durableId="1603804532">
    <w:abstractNumId w:val="3"/>
  </w:num>
  <w:num w:numId="7" w16cid:durableId="671881882">
    <w:abstractNumId w:val="2"/>
  </w:num>
  <w:num w:numId="8" w16cid:durableId="1182548334">
    <w:abstractNumId w:val="1"/>
  </w:num>
  <w:num w:numId="9" w16cid:durableId="28419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6D61"/>
    <w:rsid w:val="00AA1D8D"/>
    <w:rsid w:val="00B47730"/>
    <w:rsid w:val="00CA0284"/>
    <w:rsid w:val="00CB0664"/>
    <w:rsid w:val="00FA2E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73DB5"/>
  <w14:defaultImageDpi w14:val="300"/>
  <w15:docId w15:val="{C67CC826-4EEC-4C78-A0CB-8FCA3679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Karkut</cp:lastModifiedBy>
  <cp:revision>2</cp:revision>
  <dcterms:created xsi:type="dcterms:W3CDTF">2026-02-13T05:44:00Z</dcterms:created>
  <dcterms:modified xsi:type="dcterms:W3CDTF">2026-02-13T05:44:00Z</dcterms:modified>
  <cp:category/>
</cp:coreProperties>
</file>