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E8DA" w14:textId="77777777" w:rsidR="003D3D19" w:rsidRDefault="00000000">
      <w:pPr>
        <w:pStyle w:val="Heading1"/>
      </w:pPr>
      <w:r>
        <w:t>Transparent eCom</w:t>
      </w:r>
      <w:r>
        <w:br/>
        <w:t>Ideal Client Profile (ICP)</w:t>
      </w:r>
    </w:p>
    <w:p w14:paraId="25B8BDAD" w14:textId="77777777" w:rsidR="003D3D19" w:rsidRDefault="00000000">
      <w:pPr>
        <w:pStyle w:val="Heading2"/>
      </w:pPr>
      <w:r>
        <w:t>Who We Serve</w:t>
      </w:r>
    </w:p>
    <w:p w14:paraId="3B515E74" w14:textId="77777777" w:rsidR="003D3D19" w:rsidRDefault="00000000">
      <w:r>
        <w:t>Our best-fit clients are brands operating in regulated or restricted categories including cannabis, hemp-derived THC/CBD, functional mushrooms, nicotine alternatives, and alcohol alternatives.</w:t>
      </w:r>
    </w:p>
    <w:p w14:paraId="3BA1625B" w14:textId="77777777" w:rsidR="003D3D19" w:rsidRDefault="00000000">
      <w:pPr>
        <w:pStyle w:val="Heading2"/>
      </w:pPr>
      <w:r>
        <w:t>Decision Makers</w:t>
      </w:r>
    </w:p>
    <w:p w14:paraId="39470B36" w14:textId="77777777" w:rsidR="003D3D19" w:rsidRDefault="00000000">
      <w:r>
        <w:t>We most often work with founders, heads of growth, marketing directors, and fractional CMOs who are serious about scalable, compliant acquisition.</w:t>
      </w:r>
    </w:p>
    <w:p w14:paraId="7585DB66" w14:textId="77777777" w:rsidR="003D3D19" w:rsidRDefault="00000000">
      <w:pPr>
        <w:pStyle w:val="Heading2"/>
      </w:pPr>
      <w:r>
        <w:t>Common Pain Points</w:t>
      </w:r>
    </w:p>
    <w:p w14:paraId="2B3ECE85" w14:textId="77777777" w:rsidR="003D3D19" w:rsidRDefault="00000000">
      <w:r>
        <w:t>• Ad rejections and account instability</w:t>
      </w:r>
    </w:p>
    <w:p w14:paraId="23857E8A" w14:textId="77777777" w:rsidR="003D3D19" w:rsidRDefault="00000000">
      <w:r>
        <w:t>• Workaround creatives hurting performance</w:t>
      </w:r>
    </w:p>
    <w:p w14:paraId="53542CC7" w14:textId="77777777" w:rsidR="003D3D19" w:rsidRDefault="00000000">
      <w:r>
        <w:t>• Fear of scaling due to shutdown risk</w:t>
      </w:r>
    </w:p>
    <w:p w14:paraId="0D4A2AEB" w14:textId="5AE2CEC8" w:rsidR="00CE283A" w:rsidRDefault="00000000" w:rsidP="00CE283A">
      <w:r>
        <w:t>• Poor tracking and unclear attribution</w:t>
      </w:r>
    </w:p>
    <w:p w14:paraId="2DC7D834" w14:textId="07A33ADE" w:rsidR="00CE283A" w:rsidRDefault="00CE283A" w:rsidP="00CE283A">
      <w:r>
        <w:t xml:space="preserve">• </w:t>
      </w:r>
      <w:r>
        <w:t>Poor agency transparency</w:t>
      </w:r>
    </w:p>
    <w:p w14:paraId="137B4BB7" w14:textId="5D04346A" w:rsidR="00CE283A" w:rsidRDefault="00CE283A" w:rsidP="00CE283A">
      <w:r>
        <w:t xml:space="preserve">• </w:t>
      </w:r>
      <w:r>
        <w:t xml:space="preserve">Not able to show actual cannabis product </w:t>
      </w:r>
    </w:p>
    <w:p w14:paraId="0E6402B0" w14:textId="77777777" w:rsidR="00CE283A" w:rsidRDefault="00CE283A" w:rsidP="00CE283A"/>
    <w:p w14:paraId="36845CD1" w14:textId="77777777" w:rsidR="003D3D19" w:rsidRDefault="00000000">
      <w:pPr>
        <w:pStyle w:val="Heading2"/>
      </w:pPr>
      <w:r>
        <w:t>Why They Choose Transparent eCom</w:t>
      </w:r>
    </w:p>
    <w:p w14:paraId="0EE97FA4" w14:textId="77777777" w:rsidR="003D3D19" w:rsidRDefault="00000000">
      <w:r>
        <w:t>• Access to a specialized compliance ad account</w:t>
      </w:r>
      <w:r>
        <w:br/>
        <w:t>• Five years of restricted-category systems</w:t>
      </w:r>
      <w:r>
        <w:br/>
        <w:t>• Senior-level relationships with Meta and Google</w:t>
      </w:r>
      <w:r>
        <w:br/>
        <w:t>• Performance-driven and transparent reporting</w:t>
      </w:r>
      <w:r>
        <w:br/>
        <w:t>• Ability to advertise cannabis more directly than traditional agencies</w:t>
      </w:r>
    </w:p>
    <w:p w14:paraId="2B2B3994" w14:textId="3983D198" w:rsidR="00CE283A" w:rsidRDefault="00CE283A">
      <w:r>
        <w:t xml:space="preserve">• </w:t>
      </w:r>
      <w:r>
        <w:t>Menu based catalog ads</w:t>
      </w:r>
    </w:p>
    <w:p w14:paraId="296ACA5B" w14:textId="5C6B5962" w:rsidR="00CE283A" w:rsidRDefault="00CE283A">
      <w:r>
        <w:t xml:space="preserve">• </w:t>
      </w:r>
      <w:r>
        <w:t xml:space="preserve">In-store tracking capabilities </w:t>
      </w:r>
    </w:p>
    <w:sectPr w:rsidR="00CE2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7D26E4"/>
    <w:multiLevelType w:val="hybridMultilevel"/>
    <w:tmpl w:val="02F822AC"/>
    <w:lvl w:ilvl="0" w:tplc="96DE49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344977">
    <w:abstractNumId w:val="8"/>
  </w:num>
  <w:num w:numId="2" w16cid:durableId="1289241881">
    <w:abstractNumId w:val="6"/>
  </w:num>
  <w:num w:numId="3" w16cid:durableId="1181043313">
    <w:abstractNumId w:val="5"/>
  </w:num>
  <w:num w:numId="4" w16cid:durableId="997610602">
    <w:abstractNumId w:val="4"/>
  </w:num>
  <w:num w:numId="5" w16cid:durableId="471024964">
    <w:abstractNumId w:val="7"/>
  </w:num>
  <w:num w:numId="6" w16cid:durableId="3752029">
    <w:abstractNumId w:val="3"/>
  </w:num>
  <w:num w:numId="7" w16cid:durableId="1058630286">
    <w:abstractNumId w:val="2"/>
  </w:num>
  <w:num w:numId="8" w16cid:durableId="789252058">
    <w:abstractNumId w:val="1"/>
  </w:num>
  <w:num w:numId="9" w16cid:durableId="1150823466">
    <w:abstractNumId w:val="0"/>
  </w:num>
  <w:num w:numId="10" w16cid:durableId="358508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D19"/>
    <w:rsid w:val="00AA1D8D"/>
    <w:rsid w:val="00B47730"/>
    <w:rsid w:val="00CB0664"/>
    <w:rsid w:val="00CE283A"/>
    <w:rsid w:val="00FA2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A2CE6"/>
  <w14:defaultImageDpi w14:val="300"/>
  <w15:docId w15:val="{C67CC826-4EEC-4C78-A0CB-8FCA3679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Karkut</cp:lastModifiedBy>
  <cp:revision>2</cp:revision>
  <dcterms:created xsi:type="dcterms:W3CDTF">2026-02-13T05:45:00Z</dcterms:created>
  <dcterms:modified xsi:type="dcterms:W3CDTF">2026-02-13T05:45:00Z</dcterms:modified>
  <cp:category/>
</cp:coreProperties>
</file>