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78dda188391b160af85f52b90d8a40a806a85c"/>
    <w:p>
      <w:pPr>
        <w:pStyle w:val="Heading1"/>
      </w:pPr>
      <w:r>
        <w:t xml:space="preserve">DNS Email Authentication Fix — LiveTransparent</w:t>
      </w:r>
    </w:p>
    <w:p>
      <w:pPr>
        <w:pStyle w:val="FirstParagraph"/>
      </w:pPr>
      <w:r>
        <w:rPr>
          <w:b/>
          <w:bCs/>
        </w:rPr>
        <w:t xml:space="preserve">Requested by:</w:t>
      </w:r>
      <w:r>
        <w:t xml:space="preserve"> </w:t>
      </w:r>
      <w:r>
        <w:t xml:space="preserve">LiveTransparent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2026-08-21</w:t>
      </w:r>
      <w:r>
        <w:t xml:space="preserve"> </w:t>
      </w:r>
      <w:r>
        <w:rPr>
          <w:b/>
          <w:bCs/>
        </w:rPr>
        <w:t xml:space="preserve">Domains affected:</w:t>
      </w:r>
      <w:r>
        <w:t xml:space="preserve"> </w:t>
      </w:r>
      <w:r>
        <w:rPr>
          <w:rStyle w:val="VerbatimChar"/>
        </w:rPr>
        <w:t xml:space="preserve">livetransparent.com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livetransparent.co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livetransparent.agency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livetransparent.org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Recipients are seeing Gmail’s</w:t>
      </w:r>
      <w:r>
        <w:t xml:space="preserve"> </w:t>
      </w:r>
      <w:r>
        <w:t xml:space="preserve">“This message might be dangerous / look-alike domain”</w:t>
      </w:r>
      <w:r>
        <w:t xml:space="preserve"> </w:t>
      </w:r>
      <w:r>
        <w:t xml:space="preserve">warning on legitimate marketing email. Root cause is broken email authentication (SPF + DMARC). This fix restores SPF, DKIM, and DMARC so the domains authenticate properly.</w:t>
      </w:r>
    </w:p>
    <w:p>
      <w:r>
        <w:pict>
          <v:rect style="width:0;height:1.5pt" o:hralign="center" o:hrstd="t" o:hr="t"/>
        </w:pict>
      </w:r>
    </w:p>
    <w:bookmarkStart w:id="9" w:name="summary-of-changes-required"/>
    <w:p>
      <w:pPr>
        <w:pStyle w:val="Heading2"/>
      </w:pPr>
      <w:r>
        <w:t xml:space="preserve">Summary of changes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2132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SPF</w:t>
            </w:r>
          </w:p>
        </w:tc>
        <w:tc>
          <w:tcPr/>
          <w:p>
            <w:pPr>
              <w:pStyle w:val="Compact"/>
            </w:pPr>
            <w:r>
              <w:t xml:space="preserve">DMARC</w:t>
            </w:r>
          </w:p>
        </w:tc>
        <w:tc>
          <w:tcPr/>
          <w:p>
            <w:pPr>
              <w:pStyle w:val="Compact"/>
            </w:pPr>
            <w:r>
              <w:t xml:space="preserve">DKIM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livetransparent.com</w:t>
            </w:r>
          </w:p>
        </w:tc>
        <w:tc>
          <w:tcPr/>
          <w:p>
            <w:pPr>
              <w:pStyle w:val="Compact"/>
            </w:pPr>
            <w:r>
              <w:t xml:space="preserve">Replace — add missing includes</w:t>
            </w:r>
          </w:p>
        </w:tc>
        <w:tc>
          <w:tcPr/>
          <w:p>
            <w:pPr>
              <w:pStyle w:val="Compact"/>
            </w:pPr>
            <w:r>
              <w:t xml:space="preserve">Already valid — optional</w:t>
            </w:r>
            <w:r>
              <w:t xml:space="preserve"> </w:t>
            </w:r>
            <w:r>
              <w:rPr>
                <w:rStyle w:val="VerbatimChar"/>
              </w:rPr>
              <w:t xml:space="preserve">sp=none</w:t>
            </w:r>
          </w:p>
        </w:tc>
        <w:tc>
          <w:tcPr/>
          <w:p>
            <w:pPr>
              <w:pStyle w:val="Compact"/>
            </w:pPr>
            <w:r>
              <w:t xml:space="preserve">Add Mailgun + GHL selectors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livetransparent.co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duplicate records</w:t>
            </w:r>
            <w:r>
              <w:t xml:space="preserve"> </w:t>
            </w:r>
            <w:r>
              <w:t xml:space="preserve">→ merge into 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duplicate records</w:t>
            </w:r>
            <w:r>
              <w:t xml:space="preserve"> </w:t>
            </w:r>
            <w:r>
              <w:t xml:space="preserve">→ replace with one</w:t>
            </w:r>
          </w:p>
        </w:tc>
        <w:tc>
          <w:tcPr/>
          <w:p>
            <w:pPr>
              <w:pStyle w:val="Compact"/>
            </w:pPr>
            <w:r>
              <w:t xml:space="preserve">Add Mailgun + GHL selectors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livetransparent.agency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duplicate records</w:t>
            </w:r>
            <w:r>
              <w:t xml:space="preserve"> </w:t>
            </w:r>
            <w:r>
              <w:t xml:space="preserve">→ merge into 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duplicate records</w:t>
            </w:r>
            <w:r>
              <w:t xml:space="preserve"> </w:t>
            </w:r>
            <w:r>
              <w:t xml:space="preserve">→ replace with one</w:t>
            </w:r>
          </w:p>
        </w:tc>
        <w:tc>
          <w:tcPr/>
          <w:p>
            <w:pPr>
              <w:pStyle w:val="Compact"/>
            </w:pPr>
            <w:r>
              <w:t xml:space="preserve">Add Mailgun + GHL selectors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livetransparent.org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duplicate records</w:t>
            </w:r>
            <w:r>
              <w:t xml:space="preserve"> </w:t>
            </w:r>
            <w:r>
              <w:t xml:space="preserve">→ merge into one</w:t>
            </w:r>
          </w:p>
        </w:tc>
        <w:tc>
          <w:tcPr/>
          <w:p>
            <w:pPr>
              <w:pStyle w:val="Compact"/>
            </w:pPr>
            <w:r>
              <w:t xml:space="preserve">Replace with complete record</w:t>
            </w:r>
          </w:p>
        </w:tc>
        <w:tc>
          <w:tcPr/>
          <w:p>
            <w:pPr>
              <w:pStyle w:val="Compact"/>
            </w:pPr>
            <w:r>
              <w:t xml:space="preserve">Add Mailgun + GHL selectors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A domain may have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SPF record and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DMARC record. Multiple records of the same type cause a permanent validation error (</w:t>
      </w:r>
      <w:r>
        <w:rPr>
          <w:rStyle w:val="VerbatimChar"/>
        </w:rPr>
        <w:t xml:space="preserve">permerror</w:t>
      </w:r>
      <w:r>
        <w:t xml:space="preserve">), which makes SPF/DMARC fail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mail from that domain — including legitimate sends.</w:t>
      </w:r>
    </w:p>
    <w:p>
      <w:r>
        <w:pict>
          <v:rect style="width:0;height:1.5pt" o:hralign="center" o:hrstd="t" o:hr="t"/>
        </w:pict>
      </w:r>
    </w:p>
    <w:bookmarkEnd w:id="9"/>
    <w:bookmarkStart w:id="14" w:name="spf-records-txt-type"/>
    <w:p>
      <w:pPr>
        <w:pStyle w:val="Heading2"/>
      </w:pPr>
      <w:r>
        <w:t xml:space="preserve">1. SPF records (TXT type)</w:t>
      </w:r>
    </w:p>
    <w:p>
      <w:pPr>
        <w:pStyle w:val="FirstParagraph"/>
      </w:pPr>
      <w:r>
        <w:t xml:space="preserve">The current setup has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SPF records per domain on</w:t>
      </w:r>
      <w:r>
        <w:t xml:space="preserve"> </w:t>
      </w:r>
      <w:r>
        <w:rPr>
          <w:rStyle w:val="VerbatimChar"/>
        </w:rPr>
        <w:t xml:space="preserve">.co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.org</w:t>
      </w:r>
      <w:r>
        <w:t xml:space="preserve">. Each must be reduced to a single merged record. Delete the old records and add the single merged record below.</w:t>
      </w:r>
    </w:p>
    <w:bookmarkStart w:id="10" w:name="livetransparent.com"/>
    <w:p>
      <w:pPr>
        <w:pStyle w:val="Heading3"/>
      </w:pPr>
      <w:r>
        <w:rPr>
          <w:rStyle w:val="VerbatimChar"/>
        </w:rPr>
        <w:t xml:space="preserve">livetransparent.com</w:t>
      </w:r>
    </w:p>
    <w:p>
      <w:pPr>
        <w:pStyle w:val="FirstParagraph"/>
      </w:pPr>
      <w:r>
        <w:rPr>
          <w:b/>
          <w:bCs/>
        </w:rPr>
        <w:t xml:space="preserve">Delete existing TXT:</w:t>
      </w:r>
      <w:r>
        <w:t xml:space="preserve"> </w:t>
      </w:r>
      <w:r>
        <w:rPr>
          <w:rStyle w:val="VerbatimChar"/>
        </w:rPr>
        <w:t xml:space="preserve">v=spf1 include:_spf.google.com ~all</w:t>
      </w:r>
    </w:p>
    <w:p>
      <w:pPr>
        <w:pStyle w:val="BodyText"/>
      </w:pPr>
      <w:r>
        <w:rPr>
          <w:b/>
          <w:bCs/>
        </w:rPr>
        <w:t xml:space="preserve">Add (replace):</w:t>
      </w:r>
    </w:p>
    <w:p>
      <w:pPr>
        <w:pStyle w:val="SourceCode"/>
      </w:pPr>
      <w:r>
        <w:rPr>
          <w:rStyle w:val="VerbatimChar"/>
        </w:rPr>
        <w:t xml:space="preserve">v=spf1 include:_spf.google.com include:spf.leadconnectorhq.com include:mailgun.org ~all</w:t>
      </w:r>
    </w:p>
    <w:bookmarkEnd w:id="10"/>
    <w:bookmarkStart w:id="11" w:name="livetransparent.co"/>
    <w:p>
      <w:pPr>
        <w:pStyle w:val="Heading3"/>
      </w:pPr>
      <w:r>
        <w:rPr>
          <w:rStyle w:val="VerbatimChar"/>
        </w:rPr>
        <w:t xml:space="preserve">livetransparent.co</w:t>
      </w:r>
    </w:p>
    <w:p>
      <w:pPr>
        <w:pStyle w:val="FirstParagraph"/>
      </w:pPr>
      <w:r>
        <w:rPr>
          <w:b/>
          <w:bCs/>
        </w:rPr>
        <w:t xml:space="preserve">Delete existing TXT records (both):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v=spf1 include:_spf.google.com include:mailgun.org ~all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v=spf1 include:spf.leadconnectorhq.com include:mailgun.org ~all</w:t>
      </w:r>
    </w:p>
    <w:p>
      <w:pPr>
        <w:pStyle w:val="BodyText"/>
      </w:pPr>
      <w:r>
        <w:rPr>
          <w:b/>
          <w:bCs/>
        </w:rPr>
        <w:t xml:space="preserve">Add (replace):</w:t>
      </w:r>
    </w:p>
    <w:p>
      <w:pPr>
        <w:pStyle w:val="SourceCode"/>
      </w:pPr>
      <w:r>
        <w:rPr>
          <w:rStyle w:val="VerbatimChar"/>
        </w:rPr>
        <w:t xml:space="preserve">v=spf1 include:_spf.google.com include:spf.leadconnectorhq.com include:mailgun.org ~all</w:t>
      </w:r>
    </w:p>
    <w:bookmarkEnd w:id="11"/>
    <w:bookmarkStart w:id="12" w:name="livetransparent.agency"/>
    <w:p>
      <w:pPr>
        <w:pStyle w:val="Heading3"/>
      </w:pPr>
      <w:r>
        <w:rPr>
          <w:rStyle w:val="VerbatimChar"/>
        </w:rPr>
        <w:t xml:space="preserve">livetransparent.agency</w:t>
      </w:r>
    </w:p>
    <w:p>
      <w:pPr>
        <w:pStyle w:val="FirstParagraph"/>
      </w:pPr>
      <w:r>
        <w:rPr>
          <w:b/>
          <w:bCs/>
        </w:rPr>
        <w:t xml:space="preserve">Delete existing TXT records (both):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v=spf1 include:_spf.google.com include:mailgun.org ~all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v=spf1 include:spf.leadconnectorhq.com include:mailgun.org ~all</w:t>
      </w:r>
    </w:p>
    <w:p>
      <w:pPr>
        <w:pStyle w:val="BodyText"/>
      </w:pPr>
      <w:r>
        <w:rPr>
          <w:b/>
          <w:bCs/>
        </w:rPr>
        <w:t xml:space="preserve">Add (replace):</w:t>
      </w:r>
    </w:p>
    <w:p>
      <w:pPr>
        <w:pStyle w:val="SourceCode"/>
      </w:pPr>
      <w:r>
        <w:rPr>
          <w:rStyle w:val="VerbatimChar"/>
        </w:rPr>
        <w:t xml:space="preserve">v=spf1 include:_spf.google.com include:spf.leadconnectorhq.com include:mailgun.org ~all</w:t>
      </w:r>
    </w:p>
    <w:bookmarkEnd w:id="12"/>
    <w:bookmarkStart w:id="13" w:name="livetransparent.org"/>
    <w:p>
      <w:pPr>
        <w:pStyle w:val="Heading3"/>
      </w:pPr>
      <w:r>
        <w:rPr>
          <w:rStyle w:val="VerbatimChar"/>
        </w:rPr>
        <w:t xml:space="preserve">livetransparent.org</w:t>
      </w:r>
    </w:p>
    <w:p>
      <w:pPr>
        <w:pStyle w:val="FirstParagraph"/>
      </w:pPr>
      <w:r>
        <w:rPr>
          <w:b/>
          <w:bCs/>
        </w:rPr>
        <w:t xml:space="preserve">Delete existing TXT records (both):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v=spf1 include:_spf.google.com include:mailgun.org ~all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v=spf1 include:spf.leadconnectorhq.com include:mailgun.org ~all</w:t>
      </w:r>
    </w:p>
    <w:p>
      <w:pPr>
        <w:pStyle w:val="BodyText"/>
      </w:pPr>
      <w:r>
        <w:rPr>
          <w:b/>
          <w:bCs/>
        </w:rPr>
        <w:t xml:space="preserve">Add (replace):</w:t>
      </w:r>
    </w:p>
    <w:p>
      <w:pPr>
        <w:pStyle w:val="SourceCode"/>
      </w:pPr>
      <w:r>
        <w:rPr>
          <w:rStyle w:val="VerbatimChar"/>
        </w:rPr>
        <w:t xml:space="preserve">v=spf1 include:_spf.google.com include:spf.leadconnectorhq.com include:mailgun.org ~all</w:t>
      </w:r>
    </w:p>
    <w:p>
      <w:pPr>
        <w:pStyle w:val="Block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unrelated TXT records on these domains (site verification and Klaviyo verification records must be kept).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dmarc-records-txt-type-at-_dmarc.domain"/>
    <w:p>
      <w:pPr>
        <w:pStyle w:val="Heading2"/>
      </w:pPr>
      <w:r>
        <w:t xml:space="preserve">2. DMARC records (TXT type at</w:t>
      </w:r>
      <w:r>
        <w:t xml:space="preserve"> </w:t>
      </w:r>
      <w:r>
        <w:rPr>
          <w:rStyle w:val="VerbatimChar"/>
        </w:rPr>
        <w:t xml:space="preserve">_dmarc.&lt;domain&gt;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.co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.agency</w:t>
      </w:r>
      <w:r>
        <w:t xml:space="preserve"> </w:t>
      </w:r>
      <w:r>
        <w:t xml:space="preserve">currently have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DMARC records each. Only one is allowed. Delete all existing DMARC records for each domain and add the single complete record below.</w:t>
      </w:r>
    </w:p>
    <w:bookmarkStart w:id="15" w:name="dmarc.livetransparent.co"/>
    <w:p>
      <w:pPr>
        <w:pStyle w:val="Heading3"/>
      </w:pPr>
      <w:r>
        <w:rPr>
          <w:rStyle w:val="VerbatimChar"/>
        </w:rPr>
        <w:t xml:space="preserve">_dmarc.livetransparent.co</w:t>
      </w:r>
    </w:p>
    <w:p>
      <w:pPr>
        <w:pStyle w:val="FirstParagraph"/>
      </w:pPr>
      <w:r>
        <w:rPr>
          <w:b/>
          <w:bCs/>
        </w:rPr>
        <w:t xml:space="preserve">Delete existing DMARC records (both), then add:</w:t>
      </w:r>
    </w:p>
    <w:p>
      <w:pPr>
        <w:pStyle w:val="SourceCode"/>
      </w:pPr>
      <w:r>
        <w:rPr>
          <w:rStyle w:val="VerbatimChar"/>
        </w:rPr>
        <w:t xml:space="preserve">v=DMARC1; p=none; sp=none; pct=100; rua=mailto:dmarc-reports@livetransparent.co; ruf=mailto:dmarc-reports@livetransparent.co; fo=1; adkim=r; aspf=r</w:t>
      </w:r>
    </w:p>
    <w:bookmarkEnd w:id="15"/>
    <w:bookmarkStart w:id="16" w:name="dmarc.livetransparent.agency"/>
    <w:p>
      <w:pPr>
        <w:pStyle w:val="Heading3"/>
      </w:pPr>
      <w:r>
        <w:rPr>
          <w:rStyle w:val="VerbatimChar"/>
        </w:rPr>
        <w:t xml:space="preserve">_dmarc.livetransparent.agency</w:t>
      </w:r>
    </w:p>
    <w:p>
      <w:pPr>
        <w:pStyle w:val="FirstParagraph"/>
      </w:pPr>
      <w:r>
        <w:rPr>
          <w:b/>
          <w:bCs/>
        </w:rPr>
        <w:t xml:space="preserve">Delete existing DMARC records (both), then add:</w:t>
      </w:r>
    </w:p>
    <w:p>
      <w:pPr>
        <w:pStyle w:val="SourceCode"/>
      </w:pPr>
      <w:r>
        <w:rPr>
          <w:rStyle w:val="VerbatimChar"/>
        </w:rPr>
        <w:t xml:space="preserve">v=DMARC1; p=none; sp=none; pct=100; rua=mailto:dmarc-reports@livetransparent.agency; ruf=mailto:dmarc-reports@livetransparent.agency; fo=1; adkim=r; aspf=r</w:t>
      </w:r>
    </w:p>
    <w:bookmarkEnd w:id="16"/>
    <w:bookmarkStart w:id="17" w:name="dmarc.livetransparent.org"/>
    <w:p>
      <w:pPr>
        <w:pStyle w:val="Heading3"/>
      </w:pPr>
      <w:r>
        <w:rPr>
          <w:rStyle w:val="VerbatimChar"/>
        </w:rPr>
        <w:t xml:space="preserve">_dmarc.livetransparent.org</w:t>
      </w:r>
    </w:p>
    <w:p>
      <w:pPr>
        <w:pStyle w:val="FirstParagraph"/>
      </w:pPr>
      <w:r>
        <w:rPr>
          <w:b/>
          <w:bCs/>
        </w:rPr>
        <w:t xml:space="preserve">Delete existing DMARC record, then add:</w:t>
      </w:r>
    </w:p>
    <w:p>
      <w:pPr>
        <w:pStyle w:val="SourceCode"/>
      </w:pPr>
      <w:r>
        <w:rPr>
          <w:rStyle w:val="VerbatimChar"/>
        </w:rPr>
        <w:t xml:space="preserve">v=DMARC1; p=none; sp=none; pct=100; rua=mailto:dmarc-reports@livetransparent.org; ruf=mailto:dmarc-reports@livetransparent.org; fo=1; adkim=r; aspf=r</w:t>
      </w:r>
    </w:p>
    <w:bookmarkEnd w:id="17"/>
    <w:bookmarkStart w:id="18" w:name="dmarc.livetransparent.com"/>
    <w:p>
      <w:pPr>
        <w:pStyle w:val="Heading3"/>
      </w:pPr>
      <w:r>
        <w:rPr>
          <w:rStyle w:val="VerbatimChar"/>
        </w:rPr>
        <w:t xml:space="preserve">_dmarc.livetransparent.com</w:t>
      </w:r>
    </w:p>
    <w:p>
      <w:pPr>
        <w:pStyle w:val="FirstParagraph"/>
      </w:pPr>
      <w:r>
        <w:t xml:space="preserve">Current record is already valid and the most strict (</w:t>
      </w:r>
      <w:r>
        <w:rPr>
          <w:rStyle w:val="VerbatimChar"/>
        </w:rPr>
        <w:t xml:space="preserve">p=reject</w:t>
      </w:r>
      <w:r>
        <w:t xml:space="preserve">).</w:t>
      </w:r>
      <w:r>
        <w:t xml:space="preserve"> </w:t>
      </w:r>
      <w:r>
        <w:rPr>
          <w:b/>
          <w:bCs/>
        </w:rPr>
        <w:t xml:space="preserve">No change required.</w:t>
      </w:r>
      <w:r>
        <w:t xml:space="preserve"> </w:t>
      </w:r>
      <w:r>
        <w:t xml:space="preserve">Optionally add</w:t>
      </w:r>
      <w:r>
        <w:t xml:space="preserve"> </w:t>
      </w:r>
      <w:r>
        <w:rPr>
          <w:rStyle w:val="VerbatimChar"/>
        </w:rPr>
        <w:t xml:space="preserve">sp=none</w:t>
      </w:r>
      <w:r>
        <w:t xml:space="preserve"> </w:t>
      </w:r>
      <w:r>
        <w:t xml:space="preserve">for consistency:</w:t>
      </w:r>
    </w:p>
    <w:p>
      <w:pPr>
        <w:pStyle w:val="SourceCode"/>
      </w:pPr>
      <w:r>
        <w:rPr>
          <w:rStyle w:val="VerbatimChar"/>
        </w:rPr>
        <w:t xml:space="preserve">v=DMARC1;p=reject;pct=100;rua=mailto:dmarc-reports@livetransparent.com;ruf=mailto:dmarc-reports@livetransparent.com;ri=86400;fo=1;sp=none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p=none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.co</w:t>
      </w:r>
      <w:r>
        <w:t xml:space="preserve">/</w:t>
      </w:r>
      <w:r>
        <w:rPr>
          <w:rStyle w:val="VerbatimChar"/>
        </w:rPr>
        <w:t xml:space="preserve">.agency</w:t>
      </w:r>
      <w:r>
        <w:t xml:space="preserve">/</w:t>
      </w:r>
      <w:r>
        <w:rPr>
          <w:rStyle w:val="VerbatimChar"/>
        </w:rPr>
        <w:t xml:space="preserve">.org</w:t>
      </w:r>
      <w:r>
        <w:t xml:space="preserve"> </w:t>
      </w:r>
      <w:r>
        <w:t xml:space="preserve">is intentional — it monitors without rejecting mail while the fix is validated. Once confirmed working, the policy can be tightened later.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dkim-records-txt-type"/>
    <w:p>
      <w:pPr>
        <w:pStyle w:val="Heading2"/>
      </w:pPr>
      <w:r>
        <w:t xml:space="preserve">3. DKIM records (TXT type)</w:t>
      </w:r>
    </w:p>
    <w:p>
      <w:pPr>
        <w:pStyle w:val="FirstParagraph"/>
      </w:pPr>
      <w:r>
        <w:t xml:space="preserve">Only Google’s DKIM selector (</w:t>
      </w:r>
      <w:r>
        <w:rPr>
          <w:rStyle w:val="VerbatimChar"/>
        </w:rPr>
        <w:t xml:space="preserve">google._domainkey</w:t>
      </w:r>
      <w:r>
        <w:t xml:space="preserve">) is currently published. Google Workspace mail is covered, but</w:t>
      </w:r>
      <w:r>
        <w:t xml:space="preserve"> </w:t>
      </w:r>
      <w:r>
        <w:rPr>
          <w:b/>
          <w:bCs/>
        </w:rPr>
        <w:t xml:space="preserve">Mailgun and GHL (LeadConnector) sends are not DKIM-signed</w:t>
      </w:r>
      <w:r>
        <w:t xml:space="preserve">, so they look unauthenticated.</w:t>
      </w:r>
    </w:p>
    <w:bookmarkStart w:id="20" w:name="what-needs-to-be-added"/>
    <w:p>
      <w:pPr>
        <w:pStyle w:val="Heading3"/>
      </w:pPr>
      <w:r>
        <w:t xml:space="preserve">What needs to be added</w:t>
      </w:r>
    </w:p>
    <w:p>
      <w:pPr>
        <w:pStyle w:val="FirstParagraph"/>
      </w:pPr>
      <w:r>
        <w:t xml:space="preserve">For each domain, add</w:t>
      </w:r>
      <w:r>
        <w:t xml:space="preserve"> </w:t>
      </w:r>
      <w:r>
        <w:rPr>
          <w:b/>
          <w:bCs/>
        </w:rPr>
        <w:t xml:space="preserve">one TXT record per provider</w:t>
      </w:r>
      <w:r>
        <w:t xml:space="preserve"> </w:t>
      </w:r>
      <w:r>
        <w:t xml:space="preserve">using the selector and public key the provider displays: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3499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Selector hostname</w:t>
            </w:r>
          </w:p>
        </w:tc>
        <w:tc>
          <w:tcPr/>
          <w:p>
            <w:pPr>
              <w:pStyle w:val="Compact"/>
            </w:pPr>
            <w:r>
              <w:t xml:space="preserve">Value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Mailgun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&lt;selector&gt;._domainkey.&lt;domain&gt;</w:t>
            </w:r>
            <w:r>
              <w:t xml:space="preserve"> </w:t>
            </w:r>
            <w:r>
              <w:t xml:space="preserve">(usually</w:t>
            </w:r>
            <w:r>
              <w:t xml:space="preserve"> </w:t>
            </w:r>
            <w:r>
              <w:rPr>
                <w:rStyle w:val="VerbatimChar"/>
              </w:rPr>
              <w:t xml:space="preserve">smtp._domainkey.&lt;domain&gt;</w:t>
            </w:r>
            <w:r>
              <w:t xml:space="preserve"> </w:t>
            </w:r>
            <w:r>
              <w:t xml:space="preserve">or as shown in Mailgun)</w:t>
            </w:r>
          </w:p>
        </w:tc>
        <w:tc>
          <w:tcPr/>
          <w:p>
            <w:pPr>
              <w:pStyle w:val="Compact"/>
            </w:pPr>
            <w:r>
              <w:t xml:space="preserve">Mailgun → Sending → Domain → DNS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GHL / LeadConnector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&lt;selector&gt;._domainkey.&lt;domain&gt;</w:t>
            </w:r>
            <w:r>
              <w:t xml:space="preserve"> </w:t>
            </w:r>
            <w:r>
              <w:t xml:space="preserve">(as shown in GHL)</w:t>
            </w:r>
          </w:p>
        </w:tc>
        <w:tc>
          <w:tcPr/>
          <w:p>
            <w:pPr>
              <w:pStyle w:val="Compact"/>
            </w:pPr>
            <w:r>
              <w:t xml:space="preserve">GHL → Settings → Email / Domains → DNS records</w:t>
            </w:r>
          </w:p>
        </w:tc>
      </w:tr>
    </w:tbl>
    <w:p>
      <w:pPr>
        <w:pStyle w:val="BodyText"/>
      </w:pPr>
      <w:r>
        <w:t xml:space="preserve">The value will look like:</w:t>
      </w:r>
    </w:p>
    <w:p>
      <w:pPr>
        <w:pStyle w:val="SourceCode"/>
      </w:pPr>
      <w:r>
        <w:rPr>
          <w:rStyle w:val="VerbatimChar"/>
        </w:rPr>
        <w:t xml:space="preserve">v=DKIM1; k=rsa; p=&lt;public-key-base64&gt;</w:t>
      </w:r>
    </w:p>
    <w:p>
      <w:pPr>
        <w:pStyle w:val="FirstParagraph"/>
      </w:pPr>
      <w:r>
        <w:rPr>
          <w:b/>
          <w:bCs/>
        </w:rPr>
        <w:t xml:space="preserve">Action needed from the sending platforms:</w:t>
      </w:r>
      <w:r>
        <w:t xml:space="preserve"> </w:t>
      </w:r>
      <w:r>
        <w:t xml:space="preserve">1. In</w:t>
      </w:r>
      <w:r>
        <w:t xml:space="preserve"> </w:t>
      </w:r>
      <w:r>
        <w:rPr>
          <w:b/>
          <w:bCs/>
        </w:rPr>
        <w:t xml:space="preserve">Mailgun</w:t>
      </w:r>
      <w:r>
        <w:t xml:space="preserve">, open the domain settings for each of the four domains and copy the DKIM TXT record shown.</w:t>
      </w:r>
      <w:r>
        <w:t xml:space="preserve"> </w:t>
      </w:r>
      <w:r>
        <w:t xml:space="preserve">2. In</w:t>
      </w:r>
      <w:r>
        <w:t xml:space="preserve"> </w:t>
      </w:r>
      <w:r>
        <w:rPr>
          <w:b/>
          <w:bCs/>
        </w:rPr>
        <w:t xml:space="preserve">GHL (LeadConnector)</w:t>
      </w:r>
      <w:r>
        <w:t xml:space="preserve">, open the email sending settings for each domain and copy the DKIM TXT record shown (GHL may name the selector, e.g. </w:t>
      </w:r>
      <w:r>
        <w:rPr>
          <w:rStyle w:val="VerbatimChar"/>
        </w:rPr>
        <w:t xml:space="preserve">scph0811._domainkey</w:t>
      </w:r>
      <w:r>
        <w:t xml:space="preserve">).</w:t>
      </w:r>
      <w:r>
        <w:t xml:space="preserve"> </w:t>
      </w:r>
      <w:r>
        <w:t xml:space="preserve">3. Have the domain admin add these TXT records at the exact hostname and value provided by each platform.</w:t>
      </w:r>
      <w:r>
        <w:t xml:space="preserve"> </w:t>
      </w:r>
      <w:r>
        <w:t xml:space="preserve">4. Then click</w:t>
      </w:r>
      <w:r>
        <w:t xml:space="preserve"> </w:t>
      </w:r>
      <w:r>
        <w:t xml:space="preserve">“Verify”</w:t>
      </w:r>
      <w:r>
        <w:t xml:space="preserve"> </w:t>
      </w:r>
      <w:r>
        <w:t xml:space="preserve">in Mailgun / GHL to confirm the records are live.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3df1e0c715db0ad6a0f8c7cf9fcb7a471b3d747"/>
    <w:p>
      <w:pPr>
        <w:pStyle w:val="Heading2"/>
      </w:pPr>
      <w:r>
        <w:t xml:space="preserve">4. Verification steps (after DNS changes propagate)</w:t>
      </w:r>
    </w:p>
    <w:p>
      <w:pPr>
        <w:pStyle w:val="FirstParagraph"/>
      </w:pPr>
      <w:r>
        <w:t xml:space="preserve">Wait 15–60 minutes for DNS propagation, then verify all domains: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mxtoolbox SuperTool</w:t>
      </w:r>
      <w:r>
        <w:t xml:space="preserve"> </w:t>
      </w:r>
      <w:r>
        <w:t xml:space="preserve">— https://mxtoolbox.com/SuperTool.aspx</w:t>
      </w:r>
    </w:p>
    <w:p>
      <w:pPr>
        <w:pStyle w:val="Compact"/>
        <w:numPr>
          <w:ilvl w:val="1"/>
          <w:numId w:val="1002"/>
        </w:numPr>
      </w:pPr>
      <w:r>
        <w:t xml:space="preserve">Run SPF check for each domain → must show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and exactly one record.</w:t>
      </w:r>
    </w:p>
    <w:p>
      <w:pPr>
        <w:pStyle w:val="Compact"/>
        <w:numPr>
          <w:ilvl w:val="1"/>
          <w:numId w:val="1002"/>
        </w:numPr>
      </w:pPr>
      <w:r>
        <w:t xml:space="preserve">Run DMARC check for each domain → must show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and exactly one record.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PowerShell (optional)</w:t>
      </w:r>
      <w:r>
        <w:t xml:space="preserve"> </w:t>
      </w:r>
      <w:r>
        <w:t xml:space="preserve">— confirm single records: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nslookup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TXT livetransparent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</w:t>
      </w:r>
      <w:r>
        <w:br/>
      </w:r>
      <w:r>
        <w:rPr>
          <w:rStyle w:val="NormalTok"/>
        </w:rPr>
        <w:t xml:space="preserve">nslookup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TXT _dmarc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livetransparent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</w:t>
      </w:r>
      <w:r>
        <w:br/>
      </w:r>
      <w:r>
        <w:rPr>
          <w:rStyle w:val="NormalTok"/>
        </w:rPr>
        <w:t xml:space="preserve">nslookup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TXT smtp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_domainkey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livetransparent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Send a test email</w:t>
      </w:r>
      <w:r>
        <w:t xml:space="preserve"> </w:t>
      </w:r>
      <w:r>
        <w:t xml:space="preserve">to a Gmail address from each sender and confirm no warning banner appears.</w:t>
      </w:r>
    </w:p>
    <w:p>
      <w:r>
        <w:pict>
          <v:rect style="width:0;height:1.5pt" o:hralign="center" o:hrstd="t" o:hr="t"/>
        </w:pict>
      </w:r>
    </w:p>
    <w:bookmarkEnd w:id="22"/>
    <w:bookmarkStart w:id="23" w:name="contact-owner"/>
    <w:p>
      <w:pPr>
        <w:pStyle w:val="Heading2"/>
      </w:pPr>
      <w:r>
        <w:t xml:space="preserve">Contact / owner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Requested by:</w:t>
      </w:r>
      <w:r>
        <w:t xml:space="preserve"> </w:t>
      </w:r>
      <w:r>
        <w:t xml:space="preserve">Ed (LiveTransparent)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POCs for DKIM values:</w:t>
      </w:r>
      <w:r>
        <w:t xml:space="preserve"> </w:t>
      </w:r>
      <w:r>
        <w:t xml:space="preserve">Mailgun dashboard and GHL/LeadConnector email settings (selector values must come from those platforms).</w:t>
      </w:r>
    </w:p>
    <w:p>
      <w:pPr>
        <w:pStyle w:val="Compact"/>
        <w:numPr>
          <w:ilvl w:val="0"/>
          <w:numId w:val="1003"/>
        </w:numPr>
      </w:pPr>
      <w:r>
        <w:t xml:space="preserve">If you have questions, contact Ed before making changes.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2026-08-21T12:04:38Z</dcterms:created>
  <dcterms:modified xsi:type="dcterms:W3CDTF">2026-08-21T12:04:38Z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