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Transparent — LinkedIn Outreach Sequence</w:t>
      </w:r>
    </w:p>
    <w:p>
      <w:pPr>
        <w:pStyle w:val="Heading2"/>
      </w:pPr>
      <w:r>
        <w:t>STEP 1 — Connection Request</w:t>
      </w:r>
    </w:p>
    <w:p>
      <w:r>
        <w:t>Hi [First Name],</w:t>
        <w:br/>
        <w:br/>
        <w:t>Most cannabis brands still can’t run Meta the way mainstream brands can. We help operators get compliant Meta access that’s built to stay live and scale.</w:t>
        <w:br/>
        <w:br/>
        <w:t>Thought it made sense to connect given your role in the industry.</w:t>
        <w:br/>
        <w:br/>
        <w:t>— Cameron</w:t>
      </w:r>
    </w:p>
    <w:p>
      <w:pPr>
        <w:pStyle w:val="Heading2"/>
      </w:pPr>
      <w:r>
        <w:t>STEP 2 — After Acceptance</w:t>
      </w:r>
    </w:p>
    <w:p>
      <w:r>
        <w:t>Appreciate the connection.</w:t>
        <w:br/>
        <w:br/>
        <w:t>A lot of brands we speak with aren’t struggling with performance as much as platform limitations/restrictions. That's where we come in.</w:t>
        <w:br/>
        <w:br/>
        <w:t>We’ve supported brands like Cookies, Mood, G-Pen, and CBD Kratom with compliant Meta advertising infrastructure + paid social strategy.</w:t>
        <w:br/>
        <w:br/>
        <w:t>Curious — are you currently active on Meta at scale?</w:t>
      </w:r>
    </w:p>
    <w:p>
      <w:pPr>
        <w:pStyle w:val="Heading2"/>
      </w:pPr>
      <w:r>
        <w:t>STEP 3 — Pain Point / Credibility</w:t>
      </w:r>
    </w:p>
    <w:p>
      <w:r>
        <w:t>One thing we consistently see: cannabis brands forced into “hemp-style” marketing usually underperform compared to brands able to actually advertise with cannabis language/products.</w:t>
        <w:br/>
        <w:br/>
        <w:t>We’ve seen meaningful lifts after switching brands from using their own ad account and structure; to using ours.</w:t>
        <w:br/>
        <w:br/>
        <w:t>Happy to share examples if helpful.</w:t>
      </w:r>
    </w:p>
    <w:p>
      <w:pPr>
        <w:pStyle w:val="Heading2"/>
      </w:pPr>
      <w:r>
        <w:t>STEP 4 — Unique Capability</w:t>
      </w:r>
    </w:p>
    <w:p>
      <w:r>
        <w:t>Something we’re spending a lot of time on right now is helping dispensaries and brands connect Meta ads to actual in-store purchases.</w:t>
        <w:br/>
        <w:br/>
        <w:t>We’re also seeing strong results with compliant catalog ads pulling directly from menus/products — something many operators still don’t realize is possible.</w:t>
        <w:br/>
        <w:br/>
        <w:t>Feels like the industry is finally starting to market more like mainstream retail.</w:t>
      </w:r>
    </w:p>
    <w:p>
      <w:pPr>
        <w:pStyle w:val="Heading2"/>
      </w:pPr>
      <w:r>
        <w:t>STEP 5 — Soft CTA</w:t>
      </w:r>
    </w:p>
    <w:p>
      <w:r>
        <w:t>Not sure if this is relevant on your end, but if Meta access/stability has been a challenge internally, I’d be happy to show you how we’re structuring accounts/campaigns for other operators.</w:t>
        <w:br/>
        <w:br/>
        <w:t>Even if it’s just useful for benchmarking.</w:t>
      </w:r>
    </w:p>
    <w:p>
      <w:pPr>
        <w:pStyle w:val="Heading2"/>
      </w:pPr>
      <w:r>
        <w:t>STEP 6 — Final Follow-Up</w:t>
      </w:r>
    </w:p>
    <w:p>
      <w:r>
        <w:t>Last note from me — if paid social becomes a bigger focus this year, feel free to reach out.</w:t>
        <w:br/>
        <w:br/>
        <w:t>We built Transparent specifically around helping regulated brands advertise more like normal eCommerce companies without constantly dealing with shutdowns/restrictions.</w:t>
        <w:br/>
        <w:br/>
        <w:t>Either way, wishing you guys a strong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