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previa · Reserva de puestos de trabajo (2025)</w:t>
      </w:r>
    </w:p>
    <w:p>
      <w:r>
        <w:t>Documento ficticio creado para el ejercicio de la sesión 5. Resume un proyecto anterior parecido para que sirva de referencia al estimar el portal de reservas de salas.</w:t>
      </w:r>
    </w:p>
    <w:p>
      <w:pPr>
        <w:pStyle w:val="Heading2"/>
      </w:pPr>
      <w:r>
        <w:t>Resumen</w:t>
      </w:r>
    </w:p>
    <w:p>
      <w:r>
        <w:t>En 2025 se construyó un módulo para reservar puestos de trabajo en la misma aplicación interna, con el mismo stack (React, FastAPI y PostgreSQL). Se estimaron 140 horas y se emplearon 182 horas reales.</w:t>
      </w:r>
    </w:p>
    <w:p>
      <w:pPr>
        <w:pStyle w:val="Heading2"/>
      </w:pPr>
      <w:r>
        <w:t>Horas estimadas frente a reales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Partida</w:t>
            </w:r>
          </w:p>
        </w:tc>
        <w:tc>
          <w:tcPr>
            <w:tcW w:type="dxa" w:w="2160"/>
          </w:tcPr>
          <w:p>
            <w:r>
              <w:t>Estimadas</w:t>
            </w:r>
          </w:p>
        </w:tc>
        <w:tc>
          <w:tcPr>
            <w:tcW w:type="dxa" w:w="2160"/>
          </w:tcPr>
          <w:p>
            <w:r>
              <w:t>Reales</w:t>
            </w:r>
          </w:p>
        </w:tc>
        <w:tc>
          <w:tcPr>
            <w:tcW w:type="dxa" w:w="2160"/>
          </w:tcPr>
          <w:p>
            <w:r>
              <w:t>Desvío</w:t>
            </w:r>
          </w:p>
        </w:tc>
      </w:tr>
      <w:tr>
        <w:tc>
          <w:tcPr>
            <w:tcW w:type="dxa" w:w="2160"/>
          </w:tcPr>
          <w:p>
            <w:r>
              <w:t>Análisis y diseño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+17 %</w:t>
            </w:r>
          </w:p>
        </w:tc>
      </w:tr>
      <w:tr>
        <w:tc>
          <w:tcPr>
            <w:tcW w:type="dxa" w:w="2160"/>
          </w:tcPr>
          <w:p>
            <w:r>
              <w:t>Backend y control de concurrencia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+47 %</w:t>
            </w:r>
          </w:p>
        </w:tc>
      </w:tr>
      <w:tr>
        <w:tc>
          <w:tcPr>
            <w:tcW w:type="dxa" w:w="2160"/>
          </w:tcPr>
          <w:p>
            <w:r>
              <w:t>Pantallas de reserva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+12 %</w:t>
            </w:r>
          </w:p>
        </w:tc>
      </w:tr>
      <w:tr>
        <w:tc>
          <w:tcPr>
            <w:tcW w:type="dxa" w:w="2160"/>
          </w:tcPr>
          <w:p>
            <w:r>
              <w:t>Notificaciones por correo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+80 %</w:t>
            </w:r>
          </w:p>
        </w:tc>
      </w:tr>
      <w:tr>
        <w:tc>
          <w:tcPr>
            <w:tcW w:type="dxa" w:w="2160"/>
          </w:tcPr>
          <w:p>
            <w:r>
              <w:t>Pruebas y documentación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+29 %</w:t>
            </w:r>
          </w:p>
        </w:tc>
      </w:tr>
      <w:tr>
        <w:tc>
          <w:tcPr>
            <w:tcW w:type="dxa" w:w="2160"/>
          </w:tcPr>
          <w:p>
            <w:r>
              <w:t>Despliegue y demo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+25 %</w:t>
            </w:r>
          </w:p>
        </w:tc>
      </w:tr>
      <w:tr>
        <w:tc>
          <w:tcPr>
            <w:tcW w:type="dxa" w:w="2160"/>
          </w:tcPr>
          <w:p>
            <w:r>
              <w:t>Contingencia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+17 %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+30 %</w:t>
            </w:r>
          </w:p>
        </w:tc>
      </w:tr>
    </w:tbl>
    <w:p>
      <w:pPr>
        <w:pStyle w:val="Heading2"/>
      </w:pPr>
      <w:r>
        <w:t>Lecciones aprendidas</w:t>
      </w:r>
    </w:p>
    <w:p>
      <w:pPr>
        <w:pStyle w:val="ListBullet"/>
      </w:pPr>
      <w:r>
        <w:t>La concurrencia (dos reservas a la vez) se subestimó: hicieron falta bloqueos en base de datos y pruebas específicas.</w:t>
      </w:r>
    </w:p>
    <w:p>
      <w:pPr>
        <w:pStyle w:val="ListBullet"/>
      </w:pPr>
      <w:r>
        <w:t>Las plantillas de correo y el manejo de fallos de envío costaron casi el doble de lo previsto.</w:t>
      </w:r>
    </w:p>
    <w:p>
      <w:pPr>
        <w:pStyle w:val="ListBullet"/>
      </w:pPr>
      <w:r>
        <w:t>Una contingencia del 10 % no fue suficiente; para proyectos similares se recomienda un 20 %.</w:t>
      </w:r>
    </w:p>
    <w:p>
      <w:pPr>
        <w:pStyle w:val="ListBullet"/>
      </w:pPr>
      <w:r>
        <w:t>Tener a QA desde el principio redujo los errores en la demo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