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4yne6aoik4z" w:id="0"/>
      <w:bookmarkEnd w:id="0"/>
      <w:r w:rsidDel="00000000" w:rsidR="00000000" w:rsidRPr="00000000">
        <w:rPr>
          <w:rtl w:val="0"/>
        </w:rPr>
        <w:t xml:space="preserve">Control de Lectura 2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a30h28kvsxh" w:id="1"/>
      <w:bookmarkEnd w:id="1"/>
      <w:r w:rsidDel="00000000" w:rsidR="00000000" w:rsidRPr="00000000">
        <w:rPr>
          <w:rtl w:val="0"/>
        </w:rPr>
        <w:t xml:space="preserve">Patrones de Diseño Orientado a Objetos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1zoui4qyaj6" w:id="2"/>
      <w:bookmarkEnd w:id="2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Responda las siguientes preguntas a partir de la lectura del texto </w:t>
      </w:r>
      <w:r w:rsidDel="00000000" w:rsidR="00000000" w:rsidRPr="00000000">
        <w:rPr>
          <w:b w:val="1"/>
          <w:i w:val="1"/>
          <w:rtl w:val="0"/>
        </w:rPr>
        <w:t xml:space="preserve">Head First Design Patterns, de Freeman et al.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Tiene </w:t>
      </w:r>
      <w:r w:rsidDel="00000000" w:rsidR="00000000" w:rsidRPr="00000000">
        <w:rPr>
          <w:b w:val="1"/>
          <w:rtl w:val="0"/>
        </w:rPr>
        <w:t xml:space="preserve">45 minutos</w:t>
      </w:r>
      <w:r w:rsidDel="00000000" w:rsidR="00000000" w:rsidRPr="00000000">
        <w:rPr>
          <w:rtl w:val="0"/>
        </w:rPr>
        <w:t xml:space="preserve"> para responder el control. </w:t>
      </w:r>
      <w:r w:rsidDel="00000000" w:rsidR="00000000" w:rsidRPr="00000000">
        <w:rPr>
          <w:b w:val="1"/>
          <w:rtl w:val="0"/>
        </w:rPr>
        <w:t xml:space="preserve">Puede usar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 o sus </w:t>
      </w:r>
      <w:r w:rsidDel="00000000" w:rsidR="00000000" w:rsidRPr="00000000">
        <w:rPr>
          <w:b w:val="1"/>
          <w:rtl w:val="0"/>
        </w:rPr>
        <w:t xml:space="preserve">resúmenes</w:t>
      </w:r>
      <w:r w:rsidDel="00000000" w:rsidR="00000000" w:rsidRPr="00000000">
        <w:rPr>
          <w:rtl w:val="0"/>
        </w:rPr>
        <w:t xml:space="preserve"> para contestar el control.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Cada pregunta tiene </w:t>
      </w:r>
      <w:r w:rsidDel="00000000" w:rsidR="00000000" w:rsidRPr="00000000">
        <w:rPr>
          <w:b w:val="1"/>
          <w:rtl w:val="0"/>
        </w:rPr>
        <w:t xml:space="preserve">4 puntos.</w:t>
      </w:r>
      <w:r w:rsidDel="00000000" w:rsidR="00000000" w:rsidRPr="00000000">
        <w:rPr>
          <w:rtl w:val="0"/>
        </w:rPr>
        <w:t xml:space="preserve"> 0 si no responde o está muy malo (se equivocó de lectura/curso/vida), 1 si está malo, 2 si está incompleto, 3 si está completo y bueno y </w:t>
      </w:r>
      <w:r w:rsidDel="00000000" w:rsidR="00000000" w:rsidRPr="00000000">
        <w:rPr>
          <w:b w:val="1"/>
          <w:rtl w:val="0"/>
        </w:rPr>
        <w:t xml:space="preserve">4 si está bueno y además clara y elegantemente explicado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6rlmlzvdaz9l" w:id="3"/>
      <w:bookmarkEnd w:id="3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1.- En la conversación del maestro y el saltamontes, el saltamontes dice </w:t>
      </w:r>
      <w:r w:rsidDel="00000000" w:rsidR="00000000" w:rsidRPr="00000000">
        <w:rPr>
          <w:i w:val="1"/>
          <w:rtl w:val="0"/>
        </w:rPr>
        <w:t xml:space="preserve">“Cuando heredo un comportamiento usando subclases, el comportamiento es heredado en forma estática. Pero si extiendo el comportamiento por composición, puedo hacer esto en forma dinámica en tiempo de ejecución</w:t>
      </w:r>
      <w:r w:rsidDel="00000000" w:rsidR="00000000" w:rsidRPr="00000000">
        <w:rPr>
          <w:rtl w:val="0"/>
        </w:rPr>
        <w:t xml:space="preserve">”. Ejemplifique esta profunda revelación con dos diagramas de clases que grafiquen: a.- Herencia de comportamientos por subclases. b.- Herencia de comportamiento por composición (4 pts)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2.- Dibuje el diagrama de clases que representa el patrón Decorator, instanciado en un ejemplo específico (No puede ser el de la cafetería del libro) (4 pts)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3.- Para el ejemplo anterior, describa con sus palabras la lógica que tendrían los métodos de las clases equivalentes a Component, Concrete Componente, Decorator y  Concrete Decorator (4 pts)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4.- Señale un inconveniente de usar este patrón (4 pts)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614613" cy="17930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79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RNL/20152S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207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20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