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Liberation Sans" w:hAnsi="Liberation Sans"/>
          <w:b/>
          <w:color w:val="46647F"/>
          <w:sz w:val="20"/>
        </w:rPr>
        <w:t>EDTECH PRODUCT BLUEPRINT</w:t>
      </w:r>
    </w:p>
    <w:p>
      <w:pPr>
        <w:pStyle w:val="Title"/>
        <w:spacing w:before="560"/>
        <w:jc w:val="center"/>
      </w:pPr>
      <w:r>
        <w:t>Образовательная платформа для детей 3–18 лет</w:t>
      </w:r>
    </w:p>
    <w:p>
      <w:pPr>
        <w:pStyle w:val="Subtitle"/>
        <w:spacing w:before="240"/>
        <w:jc w:val="center"/>
      </w:pPr>
      <w:r>
        <w:t>Полный бизнес-план: B2C, школы, учебники, домашние задания, оценивание и персональные треки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43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Версия 2.0</w:t>
            </w:r>
          </w:p>
        </w:tc>
        <w:tc>
          <w:tcPr>
            <w:tcW w:type="dxa" w:w="243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Июль 2026</w:t>
            </w:r>
          </w:p>
        </w:tc>
        <w:tc>
          <w:tcPr>
            <w:tcW w:type="dxa" w:w="243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Статус: рабочая модель</w:t>
            </w:r>
          </w:p>
        </w:tc>
      </w:tr>
    </w:tbl>
    <w:p/>
    <w:p>
      <w:pPr>
        <w:jc w:val="center"/>
      </w:pPr>
      <w:r>
        <w:rPr>
          <w:color w:val="46647F"/>
          <w:sz w:val="19"/>
        </w:rPr>
        <w:t>Подготовлено на основе продуктовой гипотезы, результатов опроса родителей и анализа российского рынка и нормативной среды.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142"/>
      </w:pPr>
      <w:r>
        <w:rPr>
          <w:sz w:val="19"/>
        </w:rPr>
        <w:t>1. 1. Резюме проекта</w:t>
      </w:r>
    </w:p>
    <w:p>
      <w:pPr>
        <w:spacing w:after="40"/>
        <w:ind w:left="142"/>
      </w:pPr>
      <w:r>
        <w:rPr>
          <w:sz w:val="19"/>
        </w:rPr>
        <w:t>2. 2. Миссия и стратегическая модель</w:t>
      </w:r>
    </w:p>
    <w:p>
      <w:pPr>
        <w:spacing w:after="40"/>
        <w:ind w:left="142"/>
      </w:pPr>
      <w:r>
        <w:rPr>
          <w:sz w:val="19"/>
        </w:rPr>
        <w:t>3. 3. Проблема и подтверждение спроса</w:t>
      </w:r>
    </w:p>
    <w:p>
      <w:pPr>
        <w:spacing w:after="40"/>
        <w:ind w:left="142"/>
      </w:pPr>
      <w:r>
        <w:rPr>
          <w:sz w:val="19"/>
        </w:rPr>
        <w:t>4. 4. Продукт и пользователи</w:t>
      </w:r>
    </w:p>
    <w:p>
      <w:pPr>
        <w:spacing w:after="40"/>
        <w:ind w:left="142"/>
      </w:pPr>
      <w:r>
        <w:rPr>
          <w:sz w:val="19"/>
        </w:rPr>
        <w:t>5. 5. Линейка продуктов 3–18 лет</w:t>
      </w:r>
    </w:p>
    <w:p>
      <w:pPr>
        <w:spacing w:after="40"/>
        <w:ind w:left="142"/>
      </w:pPr>
      <w:r>
        <w:rPr>
          <w:sz w:val="19"/>
        </w:rPr>
        <w:t>6. 6. Методическая модель</w:t>
      </w:r>
    </w:p>
    <w:p>
      <w:pPr>
        <w:spacing w:after="40"/>
        <w:ind w:left="142"/>
      </w:pPr>
      <w:r>
        <w:rPr>
          <w:sz w:val="19"/>
        </w:rPr>
        <w:t>7. 7. Учебники и школьный темп</w:t>
      </w:r>
    </w:p>
    <w:p>
      <w:pPr>
        <w:spacing w:after="40"/>
        <w:ind w:left="142"/>
      </w:pPr>
      <w:r>
        <w:rPr>
          <w:sz w:val="19"/>
        </w:rPr>
        <w:t>8. 8. Помощь с домашними заданиями</w:t>
      </w:r>
    </w:p>
    <w:p>
      <w:pPr>
        <w:spacing w:after="40"/>
        <w:ind w:left="142"/>
      </w:pPr>
      <w:r>
        <w:rPr>
          <w:sz w:val="19"/>
        </w:rPr>
        <w:t>9. 9. Школьная версия</w:t>
      </w:r>
    </w:p>
    <w:p>
      <w:pPr>
        <w:spacing w:after="40"/>
        <w:ind w:left="142"/>
      </w:pPr>
      <w:r>
        <w:rPr>
          <w:sz w:val="19"/>
        </w:rPr>
        <w:t>10. 10. Рынок и целевые доли</w:t>
      </w:r>
    </w:p>
    <w:p>
      <w:pPr>
        <w:spacing w:after="40"/>
        <w:ind w:left="142"/>
      </w:pPr>
      <w:r>
        <w:rPr>
          <w:sz w:val="19"/>
        </w:rPr>
        <w:t>11. 11. Конкуренты и позиционирование</w:t>
      </w:r>
    </w:p>
    <w:p>
      <w:pPr>
        <w:spacing w:after="40"/>
        <w:ind w:left="142"/>
      </w:pPr>
      <w:r>
        <w:rPr>
          <w:sz w:val="19"/>
        </w:rPr>
        <w:t>12. 12. Бизнес-модель и цены</w:t>
      </w:r>
    </w:p>
    <w:p>
      <w:pPr>
        <w:spacing w:after="40"/>
        <w:ind w:left="142"/>
      </w:pPr>
      <w:r>
        <w:rPr>
          <w:sz w:val="19"/>
        </w:rPr>
        <w:t>13. 13. Маркетинг и продажи B2C</w:t>
      </w:r>
    </w:p>
    <w:p>
      <w:pPr>
        <w:spacing w:after="40"/>
        <w:ind w:left="142"/>
      </w:pPr>
      <w:r>
        <w:rPr>
          <w:sz w:val="19"/>
        </w:rPr>
        <w:t>14. 14. Продажи B2B и школам</w:t>
      </w:r>
    </w:p>
    <w:p>
      <w:pPr>
        <w:spacing w:after="40"/>
        <w:ind w:left="142"/>
      </w:pPr>
      <w:r>
        <w:rPr>
          <w:sz w:val="19"/>
        </w:rPr>
        <w:t>15. 15. Контент и операционная модель</w:t>
      </w:r>
    </w:p>
    <w:p>
      <w:pPr>
        <w:spacing w:after="40"/>
        <w:ind w:left="142"/>
      </w:pPr>
      <w:r>
        <w:rPr>
          <w:sz w:val="19"/>
        </w:rPr>
        <w:t>16. 16. Команда</w:t>
      </w:r>
    </w:p>
    <w:p>
      <w:pPr>
        <w:spacing w:after="40"/>
        <w:ind w:left="142"/>
      </w:pPr>
      <w:r>
        <w:rPr>
          <w:sz w:val="19"/>
        </w:rPr>
        <w:t>17. 17. Технологическая архитектура</w:t>
      </w:r>
    </w:p>
    <w:p>
      <w:pPr>
        <w:spacing w:after="40"/>
        <w:ind w:left="142"/>
      </w:pPr>
      <w:r>
        <w:rPr>
          <w:sz w:val="19"/>
        </w:rPr>
        <w:t>18. 18. Право и безопасность</w:t>
      </w:r>
    </w:p>
    <w:p>
      <w:pPr>
        <w:spacing w:after="40"/>
        <w:ind w:left="142"/>
      </w:pPr>
      <w:r>
        <w:rPr>
          <w:sz w:val="19"/>
        </w:rPr>
        <w:t>19. 19. Полная дорожная карта</w:t>
      </w:r>
    </w:p>
    <w:p>
      <w:pPr>
        <w:spacing w:after="40"/>
        <w:ind w:left="142"/>
      </w:pPr>
      <w:r>
        <w:rPr>
          <w:sz w:val="19"/>
        </w:rPr>
        <w:t>20. 20. Финансовый план</w:t>
      </w:r>
    </w:p>
    <w:p>
      <w:pPr>
        <w:spacing w:after="40"/>
        <w:ind w:left="142"/>
      </w:pPr>
      <w:r>
        <w:rPr>
          <w:sz w:val="19"/>
        </w:rPr>
        <w:t>21. 21. Метрики и ворота масштабирования</w:t>
      </w:r>
    </w:p>
    <w:p>
      <w:pPr>
        <w:spacing w:after="40"/>
        <w:ind w:left="142"/>
      </w:pPr>
      <w:r>
        <w:rPr>
          <w:sz w:val="19"/>
        </w:rPr>
        <w:t>22. 22. Риски</w:t>
      </w:r>
    </w:p>
    <w:p>
      <w:pPr>
        <w:spacing w:after="40"/>
        <w:ind w:left="142"/>
      </w:pPr>
      <w:r>
        <w:rPr>
          <w:sz w:val="19"/>
        </w:rPr>
        <w:t>23. 23. План первых 180 дней</w:t>
      </w:r>
    </w:p>
    <w:p>
      <w:pPr>
        <w:spacing w:after="40"/>
        <w:ind w:left="142"/>
      </w:pPr>
      <w:r>
        <w:rPr>
          <w:sz w:val="19"/>
        </w:rPr>
        <w:t>24. 24. Итоговая оценка</w:t>
      </w:r>
    </w:p>
    <w:p>
      <w:pPr>
        <w:spacing w:after="40"/>
        <w:ind w:left="142"/>
      </w:pPr>
      <w:r>
        <w:rPr>
          <w:sz w:val="19"/>
        </w:rPr>
        <w:t>25. 25. Источники</w:t>
      </w:r>
    </w:p>
    <w:p>
      <w:r>
        <w:br w:type="page"/>
      </w:r>
    </w:p>
    <w:p>
      <w:pPr>
        <w:pStyle w:val="Heading1"/>
      </w:pPr>
      <w:r>
        <w:t>1. Резюме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5E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b/>
                <w:color w:val="1F2937"/>
                <w:sz w:val="21"/>
              </w:rPr>
              <w:t>Формула бизнеса</w:t>
              <w:br/>
            </w:r>
            <w:r>
              <w:rPr>
                <w:sz w:val="19"/>
              </w:rPr>
              <w:t>Платформа сопровождает ребёнка на всём образовательном пути от 3 до 18 лет. Она понимает школьную программу и конкретный учебник, выявляет пробелы, помогает выполнить реальное задание без выдачи готового ответа, формирует персональный маршрут и превращает результаты школьных работ в дальнейшее обучение.</w:t>
            </w:r>
          </w:p>
        </w:tc>
      </w:tr>
    </w:tbl>
    <w:p>
      <w:pPr>
        <w:spacing w:after="0"/>
      </w:pPr>
    </w:p>
    <w:p>
      <w:r>
        <w:t>Запуск выполняется с математики для учеников 7–9 классов. Первый коммерческий продукт решает четыре регулярные задачи: пробелы, текущая школьная тема, домашние задания и подготовка к контрольным и ОГЭ. После подтверждения образовательного эффекта, удержания и юнит-экономики платформа последовательно расширяется на математику 5–11 классов, русский язык, начальную школу, дошкольников, другие предметы и школы.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Бизнес-решение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Старт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Россия, математика 7–9 классов, B2C-семьи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Долгосрочный рынок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Дети 3–18 лет, родители, преподаватели, учителя, частные и государственные школы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Главное отличие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Единый граф навыков + слой учебника + анализ шагов решения + безопасные подсказки + школьное оценивание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Доходы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B2C-подписки, наставники и консультации, экзаменационные продукты, B2B-лицензии школам, партнёрства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Горизонт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До 6 лет для формирования полноценной B2C+B2B экосистемы 3–18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Финансирование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Ориентир 500–850 млн ₽ поэтапно для ускоренного сценария; возможен более медленный рост из выручки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Безубыточность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Целевой диапазон — 3–5-й коммерческий год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CC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r>
              <w:rPr>
                <w:b/>
                <w:color w:val="1F2937"/>
                <w:sz w:val="21"/>
              </w:rPr>
              <w:t>Управленческий принцип</w:t>
              <w:br/>
            </w:r>
            <w:r>
              <w:rPr>
                <w:sz w:val="19"/>
              </w:rPr>
              <w:t>Будущее продукта проектируется заранее, но не реализуется заранее. Каждый новый возраст, предмет и канал продаж открывается только после достижения критериев предыдущей версии.</w:t>
            </w:r>
          </w:p>
        </w:tc>
      </w:tr>
    </w:tbl>
    <w:p>
      <w:pPr>
        <w:spacing w:after="0"/>
      </w:pPr>
    </w:p>
    <w:p>
      <w:pPr>
        <w:pStyle w:val="Heading1"/>
      </w:pPr>
      <w:r>
        <w:t>2. Миссия и стратегическая модель</w:t>
      </w:r>
    </w:p>
    <w:p>
      <w:pPr>
        <w:pStyle w:val="Heading2"/>
      </w:pPr>
      <w:r>
        <w:t>2.1. Миссия</w:t>
      </w:r>
    </w:p>
    <w:p>
      <w:r>
        <w:t>Сделать персональную образовательную помощь доступной каждому ребёнку, сохраняя самостоятельное мышление и освобождая родителей и учителей от повторяющейся рутины.</w:t>
      </w:r>
    </w:p>
    <w:p>
      <w:pPr>
        <w:pStyle w:val="Heading2"/>
      </w:pPr>
      <w:r>
        <w:t>2.2. Видение</w:t>
      </w:r>
    </w:p>
    <w:p>
      <w:r>
        <w:t>Платформа становится единым цифровым слоем между ребёнком, семьёй, учебником, школой и экзаменационной системой. История знаний сохраняется при смене класса, учебника, школы или формата обучения.</w:t>
      </w:r>
    </w:p>
    <w:p>
      <w:pPr>
        <w:pStyle w:val="Heading2"/>
      </w:pPr>
      <w:r>
        <w:t>2.3. Защитимые активы</w:t>
      </w:r>
    </w:p>
    <w:p>
      <w:pPr>
        <w:pStyle w:val="ListBullet"/>
        <w:spacing w:after="50"/>
      </w:pPr>
      <w:r>
        <w:t>Канонический граф знаний и зависимостей между навыками.</w:t>
      </w:r>
    </w:p>
    <w:p>
      <w:pPr>
        <w:pStyle w:val="ListBullet"/>
        <w:spacing w:after="50"/>
      </w:pPr>
      <w:r>
        <w:t>Данные о шагах решения, типах ошибок, эффективных подсказках и переносе навыка на новое задание.</w:t>
      </w:r>
    </w:p>
    <w:p>
      <w:pPr>
        <w:pStyle w:val="ListBullet"/>
        <w:spacing w:after="50"/>
      </w:pPr>
      <w:r>
        <w:t>Оригинальный проверенный банк заданий, объяснений, решений, рубрик и контрольных материалов.</w:t>
      </w:r>
    </w:p>
    <w:p>
      <w:pPr>
        <w:pStyle w:val="ListBullet"/>
        <w:spacing w:after="50"/>
      </w:pPr>
      <w:r>
        <w:t>Карты соответствия федеральным программам, учебникам, школьному темпу, ВПР, ОГЭ и ЕГЭ.</w:t>
      </w:r>
    </w:p>
    <w:p>
      <w:pPr>
        <w:pStyle w:val="ListBullet"/>
        <w:spacing w:after="50"/>
      </w:pPr>
      <w:r>
        <w:t>Единые контуры ученика, родителя, специалиста, учителя и школы.</w:t>
      </w:r>
    </w:p>
    <w:p>
      <w:pPr>
        <w:pStyle w:val="ListBullet"/>
        <w:spacing w:after="50"/>
      </w:pPr>
      <w:r>
        <w:t>Методика безопасной AI-помощи, где AI помогает думать, а не заменяет ученика.</w:t>
      </w:r>
    </w:p>
    <w:p>
      <w:pPr>
        <w:pStyle w:val="Heading1"/>
      </w:pPr>
      <w:r>
        <w:t>3. Проблема и подтверждение спроса</w:t>
      </w:r>
    </w:p>
    <w:p>
      <w:pPr>
        <w:pStyle w:val="Heading2"/>
      </w:pPr>
      <w:r>
        <w:t>3.1. Проблемы семьи</w:t>
      </w:r>
    </w:p>
    <w:p>
      <w:pPr>
        <w:pStyle w:val="ListBullet"/>
        <w:spacing w:after="50"/>
      </w:pPr>
      <w:r>
        <w:t>Оценки не показывают первопричину ошибки и конкретный пропущенный навык.</w:t>
      </w:r>
    </w:p>
    <w:p>
      <w:pPr>
        <w:pStyle w:val="ListBullet"/>
        <w:spacing w:after="50"/>
      </w:pPr>
      <w:r>
        <w:t>При затруднении ребёнок получает готовый ответ из поиска, ГДЗ или универсального AI-чата, но не обязательно понимает решение.</w:t>
      </w:r>
    </w:p>
    <w:p>
      <w:pPr>
        <w:pStyle w:val="ListBullet"/>
        <w:spacing w:after="50"/>
      </w:pPr>
      <w:r>
        <w:t>Родитель ежедневно объясняет материал либо оплачивает регулярного репетитора.</w:t>
      </w:r>
    </w:p>
    <w:p>
      <w:pPr>
        <w:pStyle w:val="ListBullet"/>
        <w:spacing w:after="50"/>
      </w:pPr>
      <w:r>
        <w:t>Курс часто не совпадает с последовательностью конкретного учебника и темпом класса.</w:t>
      </w:r>
    </w:p>
    <w:p>
      <w:pPr>
        <w:pStyle w:val="ListBullet"/>
        <w:spacing w:after="50"/>
      </w:pPr>
      <w:r>
        <w:t>Подготовка к ОГЭ и ЕГЭ начинается поздно и не учитывает пробелы прошлых лет.</w:t>
      </w:r>
    </w:p>
    <w:p>
      <w:pPr>
        <w:pStyle w:val="ListBullet"/>
        <w:spacing w:after="50"/>
      </w:pPr>
      <w:r>
        <w:t>Нет короткого ответа: что ребёнок освоил, где проблема и что делать дальше.</w:t>
      </w:r>
    </w:p>
    <w:p>
      <w:pPr>
        <w:pStyle w:val="Heading2"/>
      </w:pPr>
      <w:r>
        <w:t>3.2. Проблемы учителя и школы</w:t>
      </w:r>
    </w:p>
    <w:p>
      <w:pPr>
        <w:pStyle w:val="ListBullet"/>
        <w:spacing w:after="50"/>
      </w:pPr>
      <w:r>
        <w:t>Создание вариантов, проведение, проверка и анализ работ занимают много времени.</w:t>
      </w:r>
    </w:p>
    <w:p>
      <w:pPr>
        <w:pStyle w:val="ListBullet"/>
        <w:spacing w:after="50"/>
      </w:pPr>
      <w:r>
        <w:t>Результаты бумажной контрольной остаются в тетради и не превращаются в персональный план повторения.</w:t>
      </w:r>
    </w:p>
    <w:p>
      <w:pPr>
        <w:pStyle w:val="ListBullet"/>
        <w:spacing w:after="50"/>
      </w:pPr>
      <w:r>
        <w:t>Сложно создавать эквивалентные варианты и быстро видеть карту класса по навыкам.</w:t>
      </w:r>
    </w:p>
    <w:p>
      <w:pPr>
        <w:pStyle w:val="ListBullet"/>
        <w:spacing w:after="50"/>
      </w:pPr>
      <w:r>
        <w:t>Школе нужны российская инфраструктура, роли, аудит, безопасность и понятная закупочная модель.</w:t>
      </w:r>
    </w:p>
    <w:p>
      <w:pPr>
        <w:pStyle w:val="Heading2"/>
      </w:pPr>
      <w:r>
        <w:t>3.3. Собственный опрос</w:t>
      </w:r>
    </w:p>
    <w:p>
      <w:r>
        <w:t>В первичном опросе участвовали 24 родителя. 83% оценили концепцию на 4–5 баллов. Наиболее востребованы определение конкретных пробелов и подробный разбор ошибок. Только один участник выбрал полностью самостоятельное обучение; большинство ожидает участие наставника или преподавателя. Выборка мала и географически концентрирована, поэтому данные используются как качественные сигналы, а не как прогноз российского рынка.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F2937"/>
                <w:sz w:val="21"/>
              </w:rPr>
              <w:t>Покупаемый результат</w:t>
              <w:br/>
            </w:r>
            <w:r>
              <w:rPr>
                <w:sz w:val="19"/>
              </w:rPr>
              <w:t>Родитель платит не за AI и не за количество видео. Он платит за доказательство, что ребёнок понял тему, самостоятельно решил задачу и приблизился к конкретной цели.</w:t>
            </w:r>
          </w:p>
        </w:tc>
      </w:tr>
    </w:tbl>
    <w:p>
      <w:pPr>
        <w:spacing w:after="0"/>
      </w:pPr>
    </w:p>
    <w:p>
      <w:pPr>
        <w:pStyle w:val="Heading1"/>
      </w:pPr>
      <w:r>
        <w:t>4. Продукт и пользователи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Пользователь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Основные функции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Ценность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Ученик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Диагностика, план, уроки, тренажёр, загрузка задания, подсказки, контрольные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Самостоятельное решение и видимый прогресс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Родитель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Цели, согласия, оплата, отчёты, уведомления, консультации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Понимание результата и снижение ежедневной нагрузки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Наставник/преподаватель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Ошибки, эскалации, консультации, комментарии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Точечная помощь вместо рутинной проверки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Учитель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Классы, задания, варианты, онлайн/печать, проверка, аналитика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Экономия времени и персонализация после контроля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Школа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Организации, лицензии, роли, безопасность, статистика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Управляемое внедрение и измеримый эффект</w:t>
            </w:r>
          </w:p>
        </w:tc>
      </w:tr>
    </w:tbl>
    <w:p>
      <w:pPr>
        <w:spacing w:after="0"/>
      </w:pPr>
    </w:p>
    <w:p>
      <w:pPr>
        <w:pStyle w:val="Heading2"/>
      </w:pPr>
      <w:r>
        <w:t>4.1. Основной пользовательский цикл</w:t>
      </w:r>
    </w:p>
    <w:p>
      <w:pPr>
        <w:spacing w:after="50"/>
        <w:ind w:left="369" w:hanging="369"/>
      </w:pPr>
      <w:r>
        <w:t xml:space="preserve">1.  </w:t>
      </w:r>
      <w:r>
        <w:t>Родитель создаёт семью, профиль ребёнка и необходимые согласия.</w:t>
      </w:r>
    </w:p>
    <w:p>
      <w:pPr>
        <w:spacing w:after="50"/>
        <w:ind w:left="369" w:hanging="369"/>
      </w:pPr>
      <w:r>
        <w:t xml:space="preserve">2.  </w:t>
      </w:r>
      <w:r>
        <w:t>Выбираются класс, учебник, текущий параграф и цель.</w:t>
      </w:r>
    </w:p>
    <w:p>
      <w:pPr>
        <w:spacing w:after="50"/>
        <w:ind w:left="369" w:hanging="369"/>
      </w:pPr>
      <w:r>
        <w:t xml:space="preserve">3.  </w:t>
      </w:r>
      <w:r>
        <w:t>Диагностика строит стартовую карту навыков.</w:t>
      </w:r>
    </w:p>
    <w:p>
      <w:pPr>
        <w:spacing w:after="50"/>
        <w:ind w:left="369" w:hanging="369"/>
      </w:pPr>
      <w:r>
        <w:t xml:space="preserve">4.  </w:t>
      </w:r>
      <w:r>
        <w:t>Планировщик сочетает школьную, восстановительную и целевую дорожки.</w:t>
      </w:r>
    </w:p>
    <w:p>
      <w:pPr>
        <w:spacing w:after="50"/>
        <w:ind w:left="369" w:hanging="369"/>
      </w:pPr>
      <w:r>
        <w:t xml:space="preserve">5.  </w:t>
      </w:r>
      <w:r>
        <w:t>Ребёнок проходит занятия и загружает реальные домашние задания.</w:t>
      </w:r>
    </w:p>
    <w:p>
      <w:pPr>
        <w:spacing w:after="50"/>
        <w:ind w:left="369" w:hanging="369"/>
      </w:pPr>
      <w:r>
        <w:t xml:space="preserve">6.  </w:t>
      </w:r>
      <w:r>
        <w:t>Каждая попытка обновляет карту знаний и рекомендации.</w:t>
      </w:r>
    </w:p>
    <w:p>
      <w:pPr>
        <w:spacing w:after="50"/>
        <w:ind w:left="369" w:hanging="369"/>
      </w:pPr>
      <w:r>
        <w:t xml:space="preserve">7.  </w:t>
      </w:r>
      <w:r>
        <w:t>Родитель получает недельный отчёт; при необходимости создаётся эскалация специалисту.</w:t>
      </w:r>
    </w:p>
    <w:p>
      <w:pPr>
        <w:pStyle w:val="Heading1"/>
      </w:pPr>
      <w:r>
        <w:t>5. Линейка продуктов 3–18 лет</w:t>
      </w:r>
    </w:p>
    <w:p>
      <w:r>
        <w:t>Продукт строится как семейство возрастных решений на общей платформе. Интерфейс, длительность, роль взрослого, контент и мотивация различаются.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Возраст</w:t>
            </w:r>
          </w:p>
        </w:tc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Продуктовая линия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Основные задачи</w:t>
            </w:r>
          </w:p>
        </w:tc>
        <w:tc>
          <w:tcPr>
            <w:tcW w:type="dxa" w:w="277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Формат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3–4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Раннее развитие с родителем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Речь, внимание, количество, классификация, моторика, эмоции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5–10 минут на экране + обязательная офлайн-активность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5–6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Подготовка к школе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Фонематический слух, чтение, счёт, логика, готовность к обучению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10–15 минут, голос, печатные задания, родитель рядом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7–10 / 1–4 классы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Начальная школа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Математика, русский, чтение, окружающий мир, ВПР, домашние задания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Короткие блоки, игровой мир, родительский контроль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11–13 / 5–7 классы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База и самостоятельность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Накопленные пробелы, текущие темы, контрольные, организация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20–30 минут, учебниковые треки, наставник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14–15 / 8–9 классы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ОГЭ и выбор профиля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Школьная программа, ОГЭ, колледж/профильный класс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30–45 минут, пробники и прогноз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16–18 / 10–11 классы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ЕГЭ и поступление</w:t>
            </w:r>
          </w:p>
        </w:tc>
        <w:tc>
          <w:tcPr>
            <w:tcW w:type="dxa" w:w="351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ЕГЭ, углублённые предметы, вуз и профессия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30–60 минут, портфель целей и экзаменационная аналитика</w:t>
            </w:r>
          </w:p>
        </w:tc>
      </w:tr>
    </w:tbl>
    <w:p>
      <w:pPr>
        <w:spacing w:after="0"/>
      </w:pPr>
    </w:p>
    <w:p>
      <w:pPr>
        <w:pStyle w:val="Heading2"/>
      </w:pPr>
      <w:r>
        <w:t>5.1. Очерёдность предметов</w:t>
      </w:r>
    </w:p>
    <w:p>
      <w:pPr>
        <w:spacing w:after="50"/>
        <w:ind w:left="369" w:hanging="369"/>
      </w:pPr>
      <w:r>
        <w:t xml:space="preserve">1.  </w:t>
      </w:r>
      <w:r>
        <w:t>Математика 7–9 классов.</w:t>
      </w:r>
    </w:p>
    <w:p>
      <w:pPr>
        <w:spacing w:after="50"/>
        <w:ind w:left="369" w:hanging="369"/>
      </w:pPr>
      <w:r>
        <w:t xml:space="preserve">2.  </w:t>
      </w:r>
      <w:r>
        <w:t>Полная математика 5–11 классов и русский язык 7–9.</w:t>
      </w:r>
    </w:p>
    <w:p>
      <w:pPr>
        <w:spacing w:after="50"/>
        <w:ind w:left="369" w:hanging="369"/>
      </w:pPr>
      <w:r>
        <w:t xml:space="preserve">3.  </w:t>
      </w:r>
      <w:r>
        <w:t>Математика, русский язык и чтение 1–6 классов; английский язык.</w:t>
      </w:r>
    </w:p>
    <w:p>
      <w:pPr>
        <w:spacing w:after="50"/>
        <w:ind w:left="369" w:hanging="369"/>
      </w:pPr>
      <w:r>
        <w:t xml:space="preserve">4.  </w:t>
      </w:r>
      <w:r>
        <w:t>Физика, информатика, химия и биология.</w:t>
      </w:r>
    </w:p>
    <w:p>
      <w:pPr>
        <w:spacing w:after="50"/>
        <w:ind w:left="369" w:hanging="369"/>
      </w:pPr>
      <w:r>
        <w:t xml:space="preserve">5.  </w:t>
      </w:r>
      <w:r>
        <w:t>История, обществознание, география, литература и иностранные языки.</w:t>
      </w:r>
    </w:p>
    <w:p>
      <w:pPr>
        <w:spacing w:after="50"/>
        <w:ind w:left="369" w:hanging="369"/>
      </w:pPr>
      <w:r>
        <w:t xml:space="preserve">6.  </w:t>
      </w:r>
      <w:r>
        <w:t>Дошкольная линейка 3–6 лет отдельной методической и UX-командой.</w:t>
      </w:r>
    </w:p>
    <w:p>
      <w:pPr>
        <w:spacing w:after="50"/>
        <w:ind w:left="369" w:hanging="369"/>
      </w:pPr>
      <w:r>
        <w:t xml:space="preserve">7.  </w:t>
      </w:r>
      <w:r>
        <w:t>Олимпиадные, углублённые и профориентационные продукты.</w:t>
      </w:r>
    </w:p>
    <w:p>
      <w:pPr>
        <w:pStyle w:val="Heading1"/>
      </w:pPr>
      <w:r>
        <w:t>6. Методическая модель</w:t>
      </w:r>
    </w:p>
    <w:p>
      <w:pPr>
        <w:pStyle w:val="Heading2"/>
      </w:pPr>
      <w:r>
        <w:t>6.1. Граф навыков</w:t>
      </w:r>
    </w:p>
    <w:p>
      <w:r>
        <w:t>Знания представлены ориентированным графом. Узел — измеримый навык, ребро — зависимость. Например, решение квадратного уравнения зависит от действий с дробями, отрицательных чисел, преобразования выражений и понимания степени. Это позволяет находить первопричину ошибки и сохранять историю знаний независимо от учебника.</w:t>
      </w:r>
    </w:p>
    <w:p>
      <w:pPr>
        <w:pStyle w:val="Heading2"/>
      </w:pPr>
      <w:r>
        <w:t>6.2. Три дорожки плана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Дорожка</w:t>
            </w:r>
          </w:p>
        </w:tc>
        <w:tc>
          <w:tcPr>
            <w:tcW w:type="dxa" w:w="35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02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Школьная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Конкретный учебник, параграф и темп класса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Не отставать от текущего материала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Восстановительная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Диагностика и ошибки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Закрывать навыки-предпосылки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Целевая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Контрольная, ВПР, ОГЭ, ЕГЭ, олимпиада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Двигаться к измеримой дате и результату</w:t>
            </w:r>
          </w:p>
        </w:tc>
      </w:tr>
    </w:tbl>
    <w:p>
      <w:pPr>
        <w:spacing w:after="0"/>
      </w:pPr>
    </w:p>
    <w:p>
      <w:r>
        <w:t>Планировщик смешивает дорожки с ограничением нагрузки, интервальным повторением и контрольными точками. Важные решения о мастерстве не принимаются по одному ответу.</w:t>
      </w:r>
    </w:p>
    <w:p>
      <w:pPr>
        <w:pStyle w:val="Heading1"/>
      </w:pPr>
      <w:r>
        <w:t>7. Учебники и школьный темп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F2937"/>
                <w:sz w:val="21"/>
              </w:rPr>
              <w:t>Архитектурный принцип</w:t>
              <w:br/>
            </w:r>
            <w:r>
              <w:rPr>
                <w:sz w:val="19"/>
              </w:rPr>
              <w:t>Учебник является слоем последовательности, а не основной базой знаний. Собственный граф навыков остаётся постоянным; при смене учебника меняется карта параграфов, но не история освоения ребёнка.</w:t>
            </w:r>
          </w:p>
        </w:tc>
      </w:tr>
    </w:tbl>
    <w:p>
      <w:pPr>
        <w:spacing w:after="0"/>
      </w:pPr>
    </w:p>
    <w:p>
      <w:pPr>
        <w:pStyle w:val="Heading2"/>
      </w:pPr>
      <w:r>
        <w:t>7.1. Каталог</w:t>
      </w:r>
    </w:p>
    <w:p>
      <w:pPr>
        <w:pStyle w:val="ListBullet"/>
        <w:spacing w:after="50"/>
      </w:pPr>
      <w:r>
        <w:t>Класс, предмет, авторы, издательство, год и редакция, уровень, ISBN.</w:t>
      </w:r>
    </w:p>
    <w:p>
      <w:pPr>
        <w:pStyle w:val="ListBullet"/>
        <w:spacing w:after="50"/>
      </w:pPr>
      <w:r>
        <w:t>Оглавление и параграфы как метаданные в допустимом объёме.</w:t>
      </w:r>
    </w:p>
    <w:p>
      <w:pPr>
        <w:pStyle w:val="ListBullet"/>
        <w:spacing w:after="50"/>
      </w:pPr>
      <w:r>
        <w:t>Версионируемое соответствие: параграф → навыки → типы заданий.</w:t>
      </w:r>
    </w:p>
    <w:p>
      <w:pPr>
        <w:pStyle w:val="ListBullet"/>
        <w:spacing w:after="50"/>
      </w:pPr>
      <w:r>
        <w:t>Школьный темп: текущая тема, даты, пропуски и план учителя.</w:t>
      </w:r>
    </w:p>
    <w:p>
      <w:pPr>
        <w:pStyle w:val="ListBullet"/>
        <w:spacing w:after="50"/>
      </w:pPr>
      <w:r>
        <w:t>Распознавание обложки или выходных данных для удобного выбора.</w:t>
      </w:r>
    </w:p>
    <w:p>
      <w:pPr>
        <w:pStyle w:val="Heading2"/>
      </w:pPr>
      <w:r>
        <w:t>7.2. Права</w:t>
      </w:r>
    </w:p>
    <w:p>
      <w:r>
        <w:t>Общедоступность электронной копии не означает разрешение на коммерческое воспроизведение. Платформа использует собственные задания и объяснения, метаданные и ссылки на параграфы. Полные тексты, иллюстрации и задания издательства включаются только по лицензии или партнёрскому договору.</w:t>
      </w:r>
    </w:p>
    <w:p>
      <w:pPr>
        <w:pStyle w:val="Heading1"/>
      </w:pPr>
      <w:r>
        <w:t>8. Помощь с домашними заданиями</w:t>
      </w:r>
    </w:p>
    <w:p>
      <w:pPr>
        <w:spacing w:after="50"/>
        <w:ind w:left="369" w:hanging="369"/>
      </w:pPr>
      <w:r>
        <w:t xml:space="preserve">1.  </w:t>
      </w:r>
      <w:r>
        <w:t>Ученик фотографирует страницу, доску или собственное решение; возможны PDF, скриншот и ручной ввод.</w:t>
      </w:r>
    </w:p>
    <w:p>
      <w:pPr>
        <w:spacing w:after="50"/>
        <w:ind w:left="369" w:hanging="369"/>
      </w:pPr>
      <w:r>
        <w:t xml:space="preserve">2.  </w:t>
      </w:r>
      <w:r>
        <w:t>Система распознаёт выражения, разделяет задания, определяет тему и уверенность.</w:t>
      </w:r>
    </w:p>
    <w:p>
      <w:pPr>
        <w:spacing w:after="50"/>
        <w:ind w:left="369" w:hanging="369"/>
      </w:pPr>
      <w:r>
        <w:t xml:space="preserve">3.  </w:t>
      </w:r>
      <w:r>
        <w:t>Ученик формулирует требование задачи и вводит собственный первый шаг.</w:t>
      </w:r>
    </w:p>
    <w:p>
      <w:pPr>
        <w:spacing w:after="50"/>
        <w:ind w:left="369" w:hanging="369"/>
      </w:pPr>
      <w:r>
        <w:t xml:space="preserve">4.  </w:t>
      </w:r>
      <w:r>
        <w:t>Шаг проверяется математически и педагогически.</w:t>
      </w:r>
    </w:p>
    <w:p>
      <w:pPr>
        <w:spacing w:after="50"/>
        <w:ind w:left="369" w:hanging="369"/>
      </w:pPr>
      <w:r>
        <w:t xml:space="preserve">5.  </w:t>
      </w:r>
      <w:r>
        <w:t>Подсказки идут по уровням: направление, правило, следующий шаг, аналогичный пример, разбор ошибки.</w:t>
      </w:r>
    </w:p>
    <w:p>
      <w:pPr>
        <w:spacing w:after="50"/>
        <w:ind w:left="369" w:hanging="369"/>
      </w:pPr>
      <w:r>
        <w:t xml:space="preserve">6.  </w:t>
      </w:r>
      <w:r>
        <w:t>После решения выдаётся похожая задача с другими данными.</w:t>
      </w:r>
    </w:p>
    <w:p>
      <w:pPr>
        <w:spacing w:after="50"/>
        <w:ind w:left="369" w:hanging="369"/>
      </w:pPr>
      <w:r>
        <w:t xml:space="preserve">7.  </w:t>
      </w:r>
      <w:r>
        <w:t>Результат обновляет карту знаний и план.</w:t>
      </w:r>
    </w:p>
    <w:p>
      <w:pPr>
        <w:pStyle w:val="Heading2"/>
      </w:pPr>
      <w:r>
        <w:t>8.1. Ограничения</w:t>
      </w:r>
    </w:p>
    <w:p>
      <w:pPr>
        <w:pStyle w:val="ListBullet"/>
        <w:spacing w:after="50"/>
      </w:pPr>
      <w:r>
        <w:t>Полное решение исходной задачи не показывается в ученическом режиме.</w:t>
      </w:r>
    </w:p>
    <w:p>
      <w:pPr>
        <w:pStyle w:val="ListBullet"/>
        <w:spacing w:after="50"/>
      </w:pPr>
      <w:r>
        <w:t>Следующая подсказка требует попытки ребёнка.</w:t>
      </w:r>
    </w:p>
    <w:p>
      <w:pPr>
        <w:pStyle w:val="ListBullet"/>
        <w:spacing w:after="50"/>
      </w:pPr>
      <w:r>
        <w:t>Контрольные и экзаменационные работы не выполняются за пользователя.</w:t>
      </w:r>
    </w:p>
    <w:p>
      <w:pPr>
        <w:pStyle w:val="ListBullet"/>
        <w:spacing w:after="50"/>
      </w:pPr>
      <w:r>
        <w:t>Математические утверждения проверяются детерминированным движком на поддерживаемых типах.</w:t>
      </w:r>
    </w:p>
    <w:p>
      <w:pPr>
        <w:pStyle w:val="ListBullet"/>
        <w:spacing w:after="50"/>
      </w:pPr>
      <w:r>
        <w:t>Низкая уверенность приводит к уточнению или человеку, а не к уверенной выдумке.</w:t>
      </w:r>
    </w:p>
    <w:p>
      <w:pPr>
        <w:pStyle w:val="ListBullet"/>
        <w:spacing w:after="50"/>
      </w:pPr>
      <w:r>
        <w:t>Родителю показывается уровень самостоятельности и освоение, а не избыточная переписка.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5E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b/>
                <w:color w:val="1F2937"/>
                <w:sz w:val="21"/>
              </w:rPr>
              <w:t>Данные как преимущество</w:t>
              <w:br/>
            </w:r>
            <w:r>
              <w:rPr>
                <w:sz w:val="19"/>
              </w:rPr>
              <w:t>Ключевой актив: изображение задачи → нормализованное условие → шаги ученика → тип ошибки → полезная подсказка → переносная задача → подтверждение усвоения.</w:t>
            </w:r>
          </w:p>
        </w:tc>
      </w:tr>
    </w:tbl>
    <w:p>
      <w:pPr>
        <w:spacing w:after="0"/>
      </w:pPr>
    </w:p>
    <w:p>
      <w:pPr>
        <w:pStyle w:val="Heading1"/>
      </w:pPr>
      <w:r>
        <w:t>9. Школьная версия</w:t>
      </w:r>
    </w:p>
    <w:p>
      <w:pPr>
        <w:pStyle w:val="Heading2"/>
      </w:pPr>
      <w:r>
        <w:t>9.1. Организация</w:t>
      </w:r>
    </w:p>
    <w:p>
      <w:pPr>
        <w:pStyle w:val="ListBullet"/>
        <w:spacing w:after="50"/>
      </w:pPr>
      <w:r>
        <w:t>Школы, классы, учебные годы, предметы, ученики, учителя и администрация.</w:t>
      </w:r>
    </w:p>
    <w:p>
      <w:pPr>
        <w:pStyle w:val="ListBullet"/>
        <w:spacing w:after="50"/>
      </w:pPr>
      <w:r>
        <w:t>Импорт списков, приглашение по коду, перевод и архивирование.</w:t>
      </w:r>
    </w:p>
    <w:p>
      <w:pPr>
        <w:pStyle w:val="ListBullet"/>
        <w:spacing w:after="50"/>
      </w:pPr>
      <w:r>
        <w:t>Изоляция организаций, роли, аудит и лицензии.</w:t>
      </w:r>
    </w:p>
    <w:p>
      <w:pPr>
        <w:pStyle w:val="Heading2"/>
      </w:pPr>
      <w:r>
        <w:t>9.2. Работы учителя</w:t>
      </w:r>
    </w:p>
    <w:p>
      <w:pPr>
        <w:pStyle w:val="ListBullet"/>
        <w:spacing w:after="50"/>
      </w:pPr>
      <w:r>
        <w:t>Готовые работы по программе, учебнику, теме, навыкам и длительности.</w:t>
      </w:r>
    </w:p>
    <w:p>
      <w:pPr>
        <w:pStyle w:val="ListBullet"/>
        <w:spacing w:after="50"/>
      </w:pPr>
      <w:r>
        <w:t>Конструктор из банка и собственных заданий учителя.</w:t>
      </w:r>
    </w:p>
    <w:p>
      <w:pPr>
        <w:pStyle w:val="ListBullet"/>
        <w:spacing w:after="50"/>
      </w:pPr>
      <w:r>
        <w:t>Эквивалентные варианты с автоматической проверкой параметров.</w:t>
      </w:r>
    </w:p>
    <w:p>
      <w:pPr>
        <w:pStyle w:val="ListBullet"/>
        <w:spacing w:after="50"/>
      </w:pPr>
      <w:r>
        <w:t>Онлайн-проведение с настройками времени и попыток.</w:t>
      </w:r>
    </w:p>
    <w:p>
      <w:pPr>
        <w:pStyle w:val="ListBullet"/>
        <w:spacing w:after="50"/>
      </w:pPr>
      <w:r>
        <w:t>Экспорт PDF: варианты, листы ответов, ключи и рубрики.</w:t>
      </w:r>
    </w:p>
    <w:p>
      <w:pPr>
        <w:pStyle w:val="ListBullet"/>
        <w:spacing w:after="50"/>
      </w:pPr>
      <w:r>
        <w:t>Загрузка бумажных листов, OMR/распознавание и очередь ручной проверки сомнений.</w:t>
      </w:r>
    </w:p>
    <w:p>
      <w:pPr>
        <w:pStyle w:val="ListBullet"/>
        <w:spacing w:after="50"/>
      </w:pPr>
      <w:r>
        <w:t>Проверка развёрнутых решений по рубрикам с подтверждением учителя.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5E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b/>
                <w:color w:val="1F2937"/>
                <w:sz w:val="21"/>
              </w:rPr>
              <w:t>Ключевое отличие B2B</w:t>
              <w:br/>
            </w:r>
            <w:r>
              <w:rPr>
                <w:sz w:val="19"/>
              </w:rPr>
              <w:t>После проверки система не останавливается на балле: ошибки раскладываются по навыкам, учитель видит карту класса, а ученики получают персональные восстановительные задания.</w:t>
            </w:r>
          </w:p>
        </w:tc>
      </w:tr>
    </w:tbl>
    <w:p>
      <w:pPr>
        <w:spacing w:after="0"/>
      </w:pPr>
    </w:p>
    <w:p>
      <w:pPr>
        <w:pStyle w:val="Heading1"/>
      </w:pPr>
      <w:r>
        <w:t>10. Рынок и целевые доли</w:t>
      </w:r>
    </w:p>
    <w:p>
      <w:pPr>
        <w:pStyle w:val="Heading2"/>
      </w:pPr>
      <w:r>
        <w:t>10.1. Аудитория</w:t>
      </w:r>
    </w:p>
    <w:p>
      <w:r>
        <w:t>Минпросвещения сообщало, что в 2024 году дошкольным образованием были охвачены около 6,4 млн детей, а в 2025/26 учебном году в школах обучалось почти 18 млн человек [1][2]. Это даёт ориентир порядка 24,4 млн детей в основном возрастном диапазоне продукта. Показатель не равен платёжной аудитории и используется только как верхняя граница.</w:t>
      </w:r>
    </w:p>
    <w:p>
      <w:pPr>
        <w:pStyle w:val="Heading2"/>
      </w:pPr>
      <w:r>
        <w:t>10.2. Денежный рынок</w:t>
      </w:r>
    </w:p>
    <w:p>
      <w:r>
        <w:t>В 2025 году детское онлайн-образование оценивалось примерно в 55 млрд ₽ и стало крупнейшим сегментом российского EdTech [3]. Рынок онлайн-подготовки к экзаменам оценивался более чем в 19 млрд ₽ [4]. Сегмент растёт, но общий EdTech становится зрелее, поэтому рост проекта должен опираться на измеримый результат и удержание, а не на сам факт онлайн-формата.</w:t>
      </w:r>
    </w:p>
    <w:p>
      <w:pPr>
        <w:pStyle w:val="Heading2"/>
      </w:pPr>
      <w:r>
        <w:t>10.3. TAM, SAM и SOM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47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Расчёт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Ориентир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TAM, пользователи</w:t>
            </w:r>
          </w:p>
        </w:tc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6,4 млн дошкольников + почти 18 млн школьников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≈24,4 млн детей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TAM, текущий онлайн-рынок</w:t>
            </w:r>
          </w:p>
        </w:tc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Детский сегмент российского EdTech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≈55 млрд ₽ в 2025 году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Начальный SAM</w:t>
            </w:r>
          </w:p>
        </w:tc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3 школьных года из 11; математика обязательна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≈4,9 млн учеников 7–9 классов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Экзаменационный SAM</w:t>
            </w:r>
          </w:p>
        </w:tc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Участники основного периода ОГЭ-2025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Более 1,66 млн девятиклассников [5]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SOM базового сценария</w:t>
            </w:r>
          </w:p>
        </w:tc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110 тыс. средних B2C-плательщиков и 400 тыс. B2B-лицензий на 5-й коммерческий год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Менее 1% общей аудитории 3–18</w:t>
            </w:r>
          </w:p>
        </w:tc>
      </w:tr>
    </w:tbl>
    <w:p>
      <w:pPr>
        <w:spacing w:after="0"/>
      </w:pPr>
    </w:p>
    <w:p>
      <w:r>
        <w:t>SOM является управленческой целью. Его необходимо пересчитать после появления фактических данных о конверсии, удержании, CAC и длительности школьного цикла продаж.</w:t>
      </w:r>
    </w:p>
    <w:p>
      <w:pPr>
        <w:pStyle w:val="Heading1"/>
      </w:pPr>
      <w:r>
        <w:t>11. Конкуренты и позиционирование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Категория</w:t>
            </w:r>
          </w:p>
        </w:tc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Примеры</w:t>
            </w:r>
          </w:p>
        </w:tc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Сильная сторона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Окно продукта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Интерактивные платформы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Учи.ру, ЯКласс, Яндекс Учебник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Контент, классы, задания, проверка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Связать реальное домашнее задание и контрольную с глубоким персональным треком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Онлайн-школы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Фоксфорд, Умскул, Сотка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Преподаватели, бренд, экзамены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Системная база до экзамена и точечное подключение человека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Репетиторы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Очно и онлайн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Персональный контакт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Снизить стоимость результата, автоматизируя рутину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ГДЗ и универсальный AI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Поиск, решатели и чаты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Мгновенный ответ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Помощь без раскрытия ответа и проверка переноса навыка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Школьные LMS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Региональные системы и электронные школы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Интеграция в процессы школы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Единая карта навыков B2C+B2B и работа с бумагой</w:t>
            </w:r>
          </w:p>
        </w:tc>
      </w:tr>
    </w:tbl>
    <w:p>
      <w:pPr>
        <w:spacing w:after="0"/>
      </w:pPr>
    </w:p>
    <w:p>
      <w:pPr>
        <w:pStyle w:val="Heading2"/>
      </w:pPr>
      <w:r>
        <w:t>11.1. Позиционирование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F2937"/>
                <w:sz w:val="21"/>
              </w:rPr>
              <w:t>Позиционирование</w:t>
              <w:br/>
            </w:r>
            <w:r>
              <w:rPr>
                <w:sz w:val="19"/>
              </w:rPr>
              <w:t>Платформа понимает, чему ребёнок учится сейчас, почему он ошибается и какой минимальный следующий шаг приведёт к самостоятельному решению.</w:t>
            </w:r>
          </w:p>
        </w:tc>
      </w:tr>
    </w:tbl>
    <w:p>
      <w:pPr>
        <w:spacing w:after="0"/>
      </w:pPr>
    </w:p>
    <w:p>
      <w:pPr>
        <w:pStyle w:val="Heading2"/>
      </w:pPr>
      <w:r>
        <w:t>11.2. Барьеры копирования</w:t>
      </w:r>
    </w:p>
    <w:p>
      <w:pPr>
        <w:pStyle w:val="ListBullet"/>
        <w:spacing w:after="50"/>
      </w:pPr>
      <w:r>
        <w:t>Граф навыков и накопленная история переноса знаний.</w:t>
      </w:r>
    </w:p>
    <w:p>
      <w:pPr>
        <w:pStyle w:val="ListBullet"/>
        <w:spacing w:after="50"/>
      </w:pPr>
      <w:r>
        <w:t>Pipeline распознавания и пошаговой проверки математики.</w:t>
      </w:r>
    </w:p>
    <w:p>
      <w:pPr>
        <w:pStyle w:val="ListBullet"/>
        <w:spacing w:after="50"/>
      </w:pPr>
      <w:r>
        <w:t>Карты учебников и школьного темпа.</w:t>
      </w:r>
    </w:p>
    <w:p>
      <w:pPr>
        <w:pStyle w:val="ListBullet"/>
        <w:spacing w:after="50"/>
      </w:pPr>
      <w:r>
        <w:t>Оригинальный контент и методический контроль качества.</w:t>
      </w:r>
    </w:p>
    <w:p>
      <w:pPr>
        <w:pStyle w:val="ListBullet"/>
        <w:spacing w:after="50"/>
      </w:pPr>
      <w:r>
        <w:t>Связка B2C-обучения и B2B-оценивания с корректными согласиями и изоляцией данных.</w:t>
      </w:r>
    </w:p>
    <w:p>
      <w:pPr>
        <w:pStyle w:val="ListBullet"/>
        <w:spacing w:after="50"/>
      </w:pPr>
      <w:r>
        <w:t>Доверие родителей и учителей, подкреплённое доказанной образовательной эффективностью.</w:t>
      </w:r>
    </w:p>
    <w:p>
      <w:pPr>
        <w:pStyle w:val="Heading1"/>
      </w:pPr>
      <w:r>
        <w:t>12. Бизнес-модель и цены</w:t>
      </w:r>
    </w:p>
    <w:p>
      <w:pPr>
        <w:pStyle w:val="Heading2"/>
      </w:pPr>
      <w:r>
        <w:t>12.1. B2C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Тариф</w:t>
            </w:r>
          </w:p>
        </w:tc>
        <w:tc>
          <w:tcPr>
            <w:tcW w:type="dxa" w:w="476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Диапазон ценового теста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Free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Короткая диагностика, часть карты, ограниченные задания и загрузки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0 ₽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Самостоятельный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Один предмет, маршрут, домашние задания и отчёты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990–1 690 ₽/мес.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Семейный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До трёх предметов или несколько детей по правилам тарифа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1 990–3 490 ₽/мес.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С наставником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Платформа и еженедельная групповая поддержка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2 990–4 490 ₽/мес.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Экзаменационный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ОГЭ/ЕГЭ, пробники, проверки и прогноз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3 990–6 490 ₽/мес.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Индивидуальная помощь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Консультация или проверка сложной работы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900–1 800 ₽</w:t>
            </w:r>
          </w:p>
        </w:tc>
      </w:tr>
    </w:tbl>
    <w:p>
      <w:pPr>
        <w:spacing w:after="0"/>
      </w:pPr>
    </w:p>
    <w:p>
      <w:r>
        <w:t>Окончательные цены определяются экспериментами с реальными предложениями после бесплатной диагностики. Прямой вопрос о готовности платить не заменяет проверку покупки.</w:t>
      </w:r>
    </w:p>
    <w:p>
      <w:pPr>
        <w:pStyle w:val="Heading2"/>
      </w:pPr>
      <w:r>
        <w:t>12.2. B2B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type="dxa" w:w="680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Ориентир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Базовая лицензия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600–1 200 ₽ за ученика в год: классы, задания, тестирование и аналитика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Адаптивная лицензия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1 500–2 500 ₽ за ученика в год: персональные треки, AI-помощь и расширенная проверка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Минимальный договор школы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150–300 тыс. ₽ в год в зависимости от объёма и внедрения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Региональная лицензия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Индивидуальная цена, интеграции, SLA, обучение и аналитика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Пилот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Ограниченный бесплатный или льготный период с согласованными критериями эффекта</w:t>
            </w:r>
          </w:p>
        </w:tc>
      </w:tr>
    </w:tbl>
    <w:p>
      <w:pPr>
        <w:spacing w:after="0"/>
      </w:pPr>
    </w:p>
    <w:p>
      <w:pPr>
        <w:pStyle w:val="Heading2"/>
      </w:pPr>
      <w:r>
        <w:t>12.3. Дополнительные доходы</w:t>
      </w:r>
    </w:p>
    <w:p>
      <w:pPr>
        <w:pStyle w:val="ListBullet"/>
        <w:spacing w:after="50"/>
      </w:pPr>
      <w:r>
        <w:t>Интенсивы перед контрольными, ВПР, ОГЭ и ЕГЭ.</w:t>
      </w:r>
    </w:p>
    <w:p>
      <w:pPr>
        <w:pStyle w:val="ListBullet"/>
        <w:spacing w:after="50"/>
      </w:pPr>
      <w:r>
        <w:t>Проверка развёрнутых ответов и работ специалистами.</w:t>
      </w:r>
    </w:p>
    <w:p>
      <w:pPr>
        <w:pStyle w:val="ListBullet"/>
        <w:spacing w:after="50"/>
      </w:pPr>
      <w:r>
        <w:t>Совместные продукты и лицензии с издательствами.</w:t>
      </w:r>
    </w:p>
    <w:p>
      <w:pPr>
        <w:pStyle w:val="ListBullet"/>
        <w:spacing w:after="50"/>
      </w:pPr>
      <w:r>
        <w:t>Обучение учителей и методические пакеты.</w:t>
      </w:r>
    </w:p>
    <w:p>
      <w:pPr>
        <w:pStyle w:val="ListBullet"/>
        <w:spacing w:after="50"/>
      </w:pPr>
      <w:r>
        <w:t>API и white-label после стабилизации платформы.</w:t>
      </w:r>
    </w:p>
    <w:p>
      <w:pPr>
        <w:pStyle w:val="Heading1"/>
      </w:pPr>
      <w:r>
        <w:t>13. Маркетинг и продажи B2C</w:t>
      </w:r>
    </w:p>
    <w:p>
      <w:pPr>
        <w:pStyle w:val="Heading2"/>
      </w:pPr>
      <w:r>
        <w:t>13.1. Первый клин</w:t>
      </w:r>
    </w:p>
    <w:p>
      <w:r>
        <w:t>Основной вход: «Загрузите домашнее задание по математике — система определит, где ребёнок застрял, и поможет решить самостоятельно». Ежедневная задача создаёт частоту использования, после чего пользователь получает диагностику и персональный план.</w:t>
      </w:r>
    </w:p>
    <w:p>
      <w:pPr>
        <w:pStyle w:val="Heading2"/>
      </w:pPr>
      <w:r>
        <w:t>13.2. Воронка</w:t>
      </w:r>
    </w:p>
    <w:p>
      <w:pPr>
        <w:spacing w:after="50"/>
        <w:ind w:left="369" w:hanging="369"/>
      </w:pPr>
      <w:r>
        <w:t xml:space="preserve">1.  </w:t>
      </w:r>
      <w:r>
        <w:t>Контент и реклама по конкретной боли: домашнее задание, тема, контрольная или ОГЭ.</w:t>
      </w:r>
    </w:p>
    <w:p>
      <w:pPr>
        <w:spacing w:after="50"/>
        <w:ind w:left="369" w:hanging="369"/>
      </w:pPr>
      <w:r>
        <w:t xml:space="preserve">2.  </w:t>
      </w:r>
      <w:r>
        <w:t>Бесплатное распознавание нескольких заданий или диагностический мини-тест.</w:t>
      </w:r>
    </w:p>
    <w:p>
      <w:pPr>
        <w:spacing w:after="50"/>
        <w:ind w:left="369" w:hanging="369"/>
      </w:pPr>
      <w:r>
        <w:t xml:space="preserve">3.  </w:t>
      </w:r>
      <w:r>
        <w:t>Мгновенная ценность: определённая ошибка и первая полезная подсказка.</w:t>
      </w:r>
    </w:p>
    <w:p>
      <w:pPr>
        <w:spacing w:after="50"/>
        <w:ind w:left="369" w:hanging="369"/>
      </w:pPr>
      <w:r>
        <w:t xml:space="preserve">4.  </w:t>
      </w:r>
      <w:r>
        <w:t>Пробный сценарий 3–7 дней с несколькими успешными решениями.</w:t>
      </w:r>
    </w:p>
    <w:p>
      <w:pPr>
        <w:spacing w:after="50"/>
        <w:ind w:left="369" w:hanging="369"/>
      </w:pPr>
      <w:r>
        <w:t xml:space="preserve">5.  </w:t>
      </w:r>
      <w:r>
        <w:t>Подписка с прозрачным результатом и простой отменой.</w:t>
      </w:r>
    </w:p>
    <w:p>
      <w:pPr>
        <w:spacing w:after="50"/>
        <w:ind w:left="369" w:hanging="369"/>
      </w:pPr>
      <w:r>
        <w:t xml:space="preserve">6.  </w:t>
      </w:r>
      <w:r>
        <w:t>Недельный отчёт и повторная диагностика как доказательство ценности.</w:t>
      </w:r>
    </w:p>
    <w:p>
      <w:pPr>
        <w:spacing w:after="50"/>
        <w:ind w:left="369" w:hanging="369"/>
      </w:pPr>
      <w:r>
        <w:t xml:space="preserve">7.  </w:t>
      </w:r>
      <w:r>
        <w:t>Реферальная программа семей, учителей и специалистов.</w:t>
      </w:r>
    </w:p>
    <w:p>
      <w:pPr>
        <w:pStyle w:val="Heading2"/>
      </w:pPr>
      <w:r>
        <w:t>13.3. Каналы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Канал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Риск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Поиск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Темы, домашние задания, контрольные, экзамены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Конкуренция с бесплатными ответами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Видео и соцсети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Разбор ошибок, демонстрация метода, истории учеников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Требуется постоянное производство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Учителя и репетиторы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Рекомендации, классы, рефералы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Продукт нельзя подавать как угрозу специалисту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Школьные сообщества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Локальные пилоты и доверие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Длинные согласования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Партнёрства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Издательства, банки, работодатели, детские сервисы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Зависимость и сложные переговоры</w:t>
            </w:r>
          </w:p>
        </w:tc>
      </w:tr>
    </w:tbl>
    <w:p>
      <w:pPr>
        <w:spacing w:after="0"/>
      </w:pPr>
    </w:p>
    <w:p>
      <w:pPr>
        <w:pStyle w:val="Heading2"/>
      </w:pPr>
      <w:r>
        <w:t>13.4. Целевые показатели экономики привлечения</w:t>
      </w:r>
    </w:p>
    <w:p>
      <w:pPr>
        <w:pStyle w:val="ListBullet"/>
        <w:spacing w:after="50"/>
      </w:pPr>
      <w:r>
        <w:t>CAC платящего B2C после оптимизации: 3 000–5 000 ₽.</w:t>
      </w:r>
    </w:p>
    <w:p>
      <w:pPr>
        <w:pStyle w:val="ListBullet"/>
        <w:spacing w:after="50"/>
      </w:pPr>
      <w:r>
        <w:t>Окупаемость CAC по валовой прибыли: не более 6 месяцев.</w:t>
      </w:r>
    </w:p>
    <w:p>
      <w:pPr>
        <w:pStyle w:val="ListBullet"/>
        <w:spacing w:after="50"/>
      </w:pPr>
      <w:r>
        <w:t>LTV/CAC: не ниже 3, целевой устойчивый уровень 4–6.</w:t>
      </w:r>
    </w:p>
    <w:p>
      <w:pPr>
        <w:pStyle w:val="ListBullet"/>
        <w:spacing w:after="50"/>
      </w:pPr>
      <w:r>
        <w:t>Органическое и реферальное привлечение к 3-му году: не менее 35%.</w:t>
      </w:r>
    </w:p>
    <w:p>
      <w:pPr>
        <w:pStyle w:val="ListBullet"/>
        <w:spacing w:after="50"/>
      </w:pPr>
      <w:r>
        <w:t>Маркетинговое масштабирование приостанавливается при месячном оттоке выше 10%.</w:t>
      </w:r>
    </w:p>
    <w:p>
      <w:pPr>
        <w:pStyle w:val="Heading1"/>
      </w:pPr>
      <w:r>
        <w:t>14. Продажи B2B и школам</w:t>
      </w:r>
    </w:p>
    <w:p>
      <w:pPr>
        <w:pStyle w:val="Heading2"/>
      </w:pPr>
      <w:r>
        <w:t>14.1. Последовательность</w:t>
      </w:r>
    </w:p>
    <w:p>
      <w:pPr>
        <w:spacing w:after="50"/>
        <w:ind w:left="369" w:hanging="369"/>
      </w:pPr>
      <w:r>
        <w:t xml:space="preserve">1.  </w:t>
      </w:r>
      <w:r>
        <w:t>Пилоты с отдельными учителями, кружками и частными школами.</w:t>
      </w:r>
    </w:p>
    <w:p>
      <w:pPr>
        <w:spacing w:after="50"/>
        <w:ind w:left="369" w:hanging="369"/>
      </w:pPr>
      <w:r>
        <w:t xml:space="preserve">2.  </w:t>
      </w:r>
      <w:r>
        <w:t>Годовые договоры с частными сетями и образовательными центрами.</w:t>
      </w:r>
    </w:p>
    <w:p>
      <w:pPr>
        <w:spacing w:after="50"/>
        <w:ind w:left="369" w:hanging="369"/>
      </w:pPr>
      <w:r>
        <w:t xml:space="preserve">3.  </w:t>
      </w:r>
      <w:r>
        <w:t>Включение ПО в реестр российского программного обеспечения и подготовка пакета безопасности.</w:t>
      </w:r>
    </w:p>
    <w:p>
      <w:pPr>
        <w:spacing w:after="50"/>
        <w:ind w:left="369" w:hanging="369"/>
      </w:pPr>
      <w:r>
        <w:t xml:space="preserve">4.  </w:t>
      </w:r>
      <w:r>
        <w:t>Экспертиза электронных учебно-методических материалов и включение в применимые перечни.</w:t>
      </w:r>
    </w:p>
    <w:p>
      <w:pPr>
        <w:spacing w:after="50"/>
        <w:ind w:left="369" w:hanging="369"/>
      </w:pPr>
      <w:r>
        <w:t xml:space="preserve">5.  </w:t>
      </w:r>
      <w:r>
        <w:t>Муниципальные и региональные апробации с независимым измерением эффекта.</w:t>
      </w:r>
    </w:p>
    <w:p>
      <w:pPr>
        <w:spacing w:after="50"/>
        <w:ind w:left="369" w:hanging="369"/>
      </w:pPr>
      <w:r>
        <w:t xml:space="preserve">6.  </w:t>
      </w:r>
      <w:r>
        <w:t>Государственные закупки и партнёрства с интеграторами после появления референсов.</w:t>
      </w:r>
    </w:p>
    <w:p>
      <w:pPr>
        <w:pStyle w:val="Heading2"/>
      </w:pPr>
      <w:r>
        <w:t>14.2. Цикл продажи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51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Диагностика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1–3 недели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Предмет, классы, процесс и критерии пилота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Пилот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6–12 недель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Активность, экономия времени, учебный эффект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Решение и договор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1–4 месяца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Лицензия, внедрение, безопасность и бюджет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Учебный год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9–12 месяцев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SLA, customer success, отчёт и продление</w:t>
            </w:r>
          </w:p>
        </w:tc>
      </w:tr>
    </w:tbl>
    <w:p>
      <w:pPr>
        <w:spacing w:after="0"/>
      </w:pPr>
    </w:p>
    <w:p>
      <w:pPr>
        <w:pStyle w:val="Heading1"/>
      </w:pPr>
      <w:r>
        <w:t>15. Контент и операционная модель</w:t>
      </w:r>
    </w:p>
    <w:p>
      <w:pPr>
        <w:pStyle w:val="Heading2"/>
      </w:pPr>
      <w:r>
        <w:t>15.1. Конвейер контента</w:t>
      </w:r>
    </w:p>
    <w:p>
      <w:pPr>
        <w:spacing w:after="50"/>
        <w:ind w:left="369" w:hanging="369"/>
      </w:pPr>
      <w:r>
        <w:t xml:space="preserve">1.  </w:t>
      </w:r>
      <w:r>
        <w:t>Методист определяет навык, prerequisites и критерии мастерства.</w:t>
      </w:r>
    </w:p>
    <w:p>
      <w:pPr>
        <w:spacing w:after="50"/>
        <w:ind w:left="369" w:hanging="369"/>
      </w:pPr>
      <w:r>
        <w:t xml:space="preserve">2.  </w:t>
      </w:r>
      <w:r>
        <w:t>Автор создаёт оригинальные объяснения, задания, решения и подсказки.</w:t>
      </w:r>
    </w:p>
    <w:p>
      <w:pPr>
        <w:spacing w:after="50"/>
        <w:ind w:left="369" w:hanging="369"/>
      </w:pPr>
      <w:r>
        <w:t xml:space="preserve">3.  </w:t>
      </w:r>
      <w:r>
        <w:t>Математический редактор проверяет корректность и граничные случаи.</w:t>
      </w:r>
    </w:p>
    <w:p>
      <w:pPr>
        <w:spacing w:after="50"/>
        <w:ind w:left="369" w:hanging="369"/>
      </w:pPr>
      <w:r>
        <w:t xml:space="preserve">4.  </w:t>
      </w:r>
      <w:r>
        <w:t>Педагогический редактор проверяет возраст, ясность и отсутствие раскрытия ответа.</w:t>
      </w:r>
    </w:p>
    <w:p>
      <w:pPr>
        <w:spacing w:after="50"/>
        <w:ind w:left="369" w:hanging="369"/>
      </w:pPr>
      <w:r>
        <w:t xml:space="preserve">5.  </w:t>
      </w:r>
      <w:r>
        <w:t>QA генерирует варианты и запускает автоматические проверки.</w:t>
      </w:r>
    </w:p>
    <w:p>
      <w:pPr>
        <w:spacing w:after="50"/>
        <w:ind w:left="369" w:hanging="369"/>
      </w:pPr>
      <w:r>
        <w:t xml:space="preserve">6.  </w:t>
      </w:r>
      <w:r>
        <w:t>Контент публикуется версией, получает телеметрию и периодически пересматривается.</w:t>
      </w:r>
    </w:p>
    <w:p>
      <w:pPr>
        <w:pStyle w:val="Heading2"/>
      </w:pPr>
      <w:r>
        <w:t>15.2. Контроль AI</w:t>
      </w:r>
    </w:p>
    <w:p>
      <w:pPr>
        <w:pStyle w:val="ListBullet"/>
        <w:spacing w:after="50"/>
      </w:pPr>
      <w:r>
        <w:t>Золотой evaluation-набор по типам задач, изображениям, ошибкам и подсказкам.</w:t>
      </w:r>
    </w:p>
    <w:p>
      <w:pPr>
        <w:pStyle w:val="ListBullet"/>
        <w:spacing w:after="50"/>
      </w:pPr>
      <w:r>
        <w:t>Раздельные метрики распознавания, математической корректности, полезности и утечки ответа.</w:t>
      </w:r>
    </w:p>
    <w:p>
      <w:pPr>
        <w:pStyle w:val="ListBullet"/>
        <w:spacing w:after="50"/>
      </w:pPr>
      <w:r>
        <w:t>Canary-релизы моделей и быстрый откат.</w:t>
      </w:r>
    </w:p>
    <w:p>
      <w:pPr>
        <w:pStyle w:val="ListBullet"/>
        <w:spacing w:after="50"/>
      </w:pPr>
      <w:r>
        <w:t>Очередь человеческого разбора для низкой уверенности и жалоб.</w:t>
      </w:r>
    </w:p>
    <w:p>
      <w:pPr>
        <w:pStyle w:val="ListBullet"/>
        <w:spacing w:after="50"/>
      </w:pPr>
      <w:r>
        <w:t>Запрет обучения внешнего провайдера на пользовательских данных без отдельного основания.</w:t>
      </w:r>
    </w:p>
    <w:p>
      <w:pPr>
        <w:pStyle w:val="Heading2"/>
      </w:pPr>
      <w:r>
        <w:t>15.3. Поддержка</w:t>
      </w:r>
    </w:p>
    <w:p>
      <w:pPr>
        <w:pStyle w:val="ListBullet"/>
        <w:spacing w:after="50"/>
      </w:pPr>
      <w:r>
        <w:t>Первая линия: аккаунт, оплата, загрузки и навигация.</w:t>
      </w:r>
    </w:p>
    <w:p>
      <w:pPr>
        <w:pStyle w:val="ListBullet"/>
        <w:spacing w:after="50"/>
      </w:pPr>
      <w:r>
        <w:t>Методическая линия: спорные задачи и ошибки проверки.</w:t>
      </w:r>
    </w:p>
    <w:p>
      <w:pPr>
        <w:pStyle w:val="ListBullet"/>
        <w:spacing w:after="50"/>
      </w:pPr>
      <w:r>
        <w:t>Школьная линия: импорт, роли, работы, печать и интеграции.</w:t>
      </w:r>
    </w:p>
    <w:p>
      <w:pPr>
        <w:pStyle w:val="ListBullet"/>
        <w:spacing w:after="50"/>
      </w:pPr>
      <w:r>
        <w:t>Инцидентная линия: безопасность, персональные данные и доступность.</w:t>
      </w:r>
    </w:p>
    <w:p>
      <w:pPr>
        <w:pStyle w:val="Heading1"/>
      </w:pPr>
      <w:r>
        <w:t>16. Команда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Численность</w:t>
            </w:r>
          </w:p>
        </w:tc>
        <w:tc>
          <w:tcPr>
            <w:tcW w:type="dxa" w:w="578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Ключевые функции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0–12 месяцев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10–16 FTE</w:t>
            </w:r>
          </w:p>
        </w:tc>
        <w:tc>
          <w:tcPr>
            <w:tcW w:type="dxa" w:w="578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CEO/product, CTO, 4–6 инженеров, AI/math, 2–3 методиста, design, QA, legal/ops part-time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12–24 месяца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22–40 FTE</w:t>
            </w:r>
          </w:p>
        </w:tc>
        <w:tc>
          <w:tcPr>
            <w:tcW w:type="dxa" w:w="578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Growth, support, data, content production, mentor operations, security, B2B lead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24–36 месяцев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45–80 FTE</w:t>
            </w:r>
          </w:p>
        </w:tc>
        <w:tc>
          <w:tcPr>
            <w:tcW w:type="dxa" w:w="578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Предметные команды, school product, sales/implementation, SRE, analytics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36–60 месяцев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100–220 FTE</w:t>
            </w:r>
          </w:p>
        </w:tc>
        <w:tc>
          <w:tcPr>
            <w:tcW w:type="dxa" w:w="578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Возрастные и предметные вертикали, региональные продажи, customer success, compliance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60+ месяцев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200–400 FTE</w:t>
            </w:r>
          </w:p>
        </w:tc>
        <w:tc>
          <w:tcPr>
            <w:tcW w:type="dxa" w:w="578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Полная экосистема, локализация, партнёрства и platform/API</w:t>
            </w:r>
          </w:p>
        </w:tc>
      </w:tr>
    </w:tbl>
    <w:p>
      <w:pPr>
        <w:spacing w:after="0"/>
      </w:pPr>
    </w:p>
    <w:p>
      <w:r>
        <w:t>Организация строится по продуктовым вертикалям — например, «математика 7–9», «экзамены», «начальная школа», «дошкольники», «школы». Общие платформенные команды отвечают за identity, payments, knowledge graph, AI gateway, assessment, analytics и security.</w:t>
      </w:r>
    </w:p>
    <w:p>
      <w:pPr>
        <w:pStyle w:val="Heading1"/>
      </w:pPr>
      <w:r>
        <w:t>17. Технологическая архитектура</w:t>
      </w:r>
    </w:p>
    <w:p>
      <w:pPr>
        <w:pStyle w:val="Heading2"/>
      </w:pPr>
      <w:r>
        <w:t>17.1. Принципы</w:t>
      </w:r>
    </w:p>
    <w:p>
      <w:pPr>
        <w:pStyle w:val="ListBullet"/>
        <w:spacing w:after="50"/>
      </w:pPr>
      <w:r>
        <w:t>Multi-tenant с изоляцией семей, школ и организаций.</w:t>
      </w:r>
    </w:p>
    <w:p>
      <w:pPr>
        <w:pStyle w:val="ListBullet"/>
        <w:spacing w:after="50"/>
      </w:pPr>
      <w:r>
        <w:t>Модульный монолит на старте; сервис выделяется только из-за нагрузки, безопасности, языка или независимого жизненного цикла.</w:t>
      </w:r>
    </w:p>
    <w:p>
      <w:pPr>
        <w:pStyle w:val="ListBullet"/>
        <w:spacing w:after="50"/>
      </w:pPr>
      <w:r>
        <w:t>Provider-agnostic AI gateway: облачные, российские и локальные модели.</w:t>
      </w:r>
    </w:p>
    <w:p>
      <w:pPr>
        <w:pStyle w:val="ListBullet"/>
        <w:spacing w:after="50"/>
      </w:pPr>
      <w:r>
        <w:t>Детерминированная математическая проверка там, где это возможно.</w:t>
      </w:r>
    </w:p>
    <w:p>
      <w:pPr>
        <w:pStyle w:val="ListBullet"/>
        <w:spacing w:after="50"/>
      </w:pPr>
      <w:r>
        <w:t>Версионирование навыков, учебников, контента, рубрик и моделей.</w:t>
      </w:r>
    </w:p>
    <w:p>
      <w:pPr>
        <w:pStyle w:val="ListBullet"/>
        <w:spacing w:after="50"/>
      </w:pPr>
      <w:r>
        <w:t>Полный audit log для чувствительных действий.</w:t>
      </w:r>
    </w:p>
    <w:p>
      <w:pPr>
        <w:pStyle w:val="ListBullet"/>
        <w:spacing w:after="50"/>
      </w:pPr>
      <w:r>
        <w:t>Низкая пропускная способность и бумажные сценарии учитываются в school product.</w:t>
      </w:r>
    </w:p>
    <w:p>
      <w:pPr>
        <w:pStyle w:val="Heading2"/>
      </w:pPr>
      <w:r>
        <w:t>17.2. Подсистемы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Подсистема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Identity &amp; Consent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Семьи, дети, роли, согласия, школы, сессии и доступы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Curriculum &amp; Graph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Навыки, зависимости, программы, учебники и экзамены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Learning Engine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Диагностика, мастерство, повторение и планировщик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Homework Vision &amp; Math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Файлы, распознавание, нормализация, шаги, подсказки и перенос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Assessment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Работы, варианты, проведение, рубрики, PDF и OMR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Content Platform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Редактор, workflow, версии, публикация и права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Analytics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Продуктовые, учебные и школьные метрики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Billing &amp; Entitlements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Подписки, школьные лицензии, лимиты и доступы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Operations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Поддержка, модерация, инциденты и аудит</w:t>
            </w:r>
          </w:p>
        </w:tc>
      </w:tr>
    </w:tbl>
    <w:p>
      <w:pPr>
        <w:spacing w:after="0"/>
      </w:pPr>
    </w:p>
    <w:p>
      <w:pPr>
        <w:pStyle w:val="Heading1"/>
      </w:pPr>
      <w:r>
        <w:t>18. Право и безопасность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72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Обязательное действие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Образовательная деятельность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До продаж проводится юридический аудит модели; при реализации программ с нанятыми педагогами планируется образовательная лицензия [9].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Персональные данные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Родительские согласия, уведомление оператора, локализация первичных баз в РФ, минимизация и сроки хранения [10].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Данные детей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Безопасные настройки по умолчанию, запрет контактов вне платформы, роли, аудит и удаление.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Возрастная информация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Классификация контента и интерфейсов по 436-ФЗ [11].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Учебники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Собственный контент или лицензии; цитирование не даёт права массово копировать материал [12][13].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Школы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Российская инфраструктура, реестр российского ПО, 44-ФЗ/223-ФЗ и требования заказчика [14][15].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ЭОР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Экспертиза и включение материалов в применимые федеральные перечни [16].</w:t>
            </w:r>
          </w:p>
        </w:tc>
      </w:tr>
    </w:tbl>
    <w:p>
      <w:pPr>
        <w:spacing w:after="0"/>
      </w:pPr>
    </w:p>
    <w:p>
      <w:r>
        <w:t>Этот раздел является картой действий, а не юридическим заключением. Перед каждым коммерческим этапом нужен аудит российским юристом и специалистом по информационной безопасности.</w:t>
      </w:r>
    </w:p>
    <w:p>
      <w:pPr>
        <w:pStyle w:val="Heading1"/>
      </w:pPr>
      <w:r>
        <w:t>19. Полная дорожная карта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Версия / срок</w:t>
            </w:r>
          </w:p>
        </w:tc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Продукт</w:t>
            </w:r>
          </w:p>
        </w:tc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Коммерческий результат</w:t>
            </w:r>
          </w:p>
        </w:tc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Ворота перехода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V0.0 — 0–3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Юридическая схема, интервью, граф навыков, прототип подсказок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Нет продаж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20+ интервью; 100+ задач eval; правила данных и прав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V0.2 — 3–6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UX-прототип и vertical slice домашней задачи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Набор пилота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Распознавание &gt;90% на поддерживаемом наборе; утечка ответа &lt;1%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V0.5 — 6–10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Alpha: диагностика, карта, план, домашние задания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30–80 семей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Onboarding &gt;70%; D30 &gt;30%; подтверждённый прирост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V1.0 — 10–15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Платный MVP математики 7–9, родители, наставник, ОГЭ-ядро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300–1 000 платящих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Paid conversion &gt;8%; churn &lt;12%; parent NPS &gt;30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V1.5 — 15–24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Полная математика 7–9, учебники, контрольные, зрелый ОГЭ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3–6 тыс. средних платящих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CAC payback &lt;6 мес.; gross margin &gt;65%; M2 retention &gt;50%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V2.0 — 24–36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Математика 5–11, ЕГЭ-ядро, русский 7–9, teacher beta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15–25 тыс.; 20–50 школ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PMF; учитель экономит &gt;30% времени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V3.0 — 30–42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School product, печать/OMR; начальная школа beta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100–250 школ; 30–50 тыс. B2C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School renewal &gt;75%; ноль критических инцидентов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V4.0 — 36–48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1–4 классы; дошкольная alpha 5–6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60–80 тыс. B2C; 200–400 школ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Отдельная UX-валидация и screen-time policy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V5.0 — 48–60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Дошкольники 3–6; основные предметы 1–11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100–150 тыс. B2C; 400–800 школ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Положительная предметная экономика и масштабируемый content pipeline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V6.0 — 60–72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Полная экосистема 3–18, регионы, профориентация, API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150 тыс.+ B2C; 800+ школ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Положительная EBITDA и B2B renewal &gt;80%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V7+ — 72+ мес.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Локализация, publisher platform и white-label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Новые рынки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Экспансия не ухудшает core-метрики</w:t>
            </w:r>
          </w:p>
        </w:tc>
      </w:tr>
    </w:tbl>
    <w:p>
      <w:pPr>
        <w:spacing w:after="0"/>
      </w:pPr>
    </w:p>
    <w:p>
      <w:pPr>
        <w:pStyle w:val="Heading1"/>
      </w:pPr>
      <w:r>
        <w:t>20. Финансовый план</w:t>
      </w:r>
    </w:p>
    <w:p>
      <w:pPr>
        <w:pStyle w:val="Heading2"/>
      </w:pPr>
      <w:r>
        <w:t>20.1. Допущения базового сценария</w:t>
      </w:r>
    </w:p>
    <w:p>
      <w:pPr>
        <w:pStyle w:val="ListBullet"/>
        <w:spacing w:after="50"/>
      </w:pPr>
      <w:r>
        <w:t>Коммерческий год 1 начинается после 10–15 месяцев разработки и пилотов.</w:t>
      </w:r>
    </w:p>
    <w:p>
      <w:pPr>
        <w:pStyle w:val="ListBullet"/>
        <w:spacing w:after="50"/>
      </w:pPr>
      <w:r>
        <w:t>B2C ARPPU растёт с 2,05 тыс. ₽ до 2,9 тыс. ₽ в месяц по мере расширения тарифов.</w:t>
      </w:r>
    </w:p>
    <w:p>
      <w:pPr>
        <w:pStyle w:val="ListBullet"/>
        <w:spacing w:after="50"/>
      </w:pPr>
      <w:r>
        <w:t>Среднее число платящих пользователей: 1 тыс. → 5 тыс. → 18 тыс. → 50 тыс. → 110 тыс.</w:t>
      </w:r>
    </w:p>
    <w:p>
      <w:pPr>
        <w:pStyle w:val="ListBullet"/>
        <w:spacing w:after="50"/>
      </w:pPr>
      <w:r>
        <w:t>B2B появляется со 2-го коммерческого года и достигает около 400 тыс. лицензированных учеников к 5-му году.</w:t>
      </w:r>
    </w:p>
    <w:p>
      <w:pPr>
        <w:pStyle w:val="ListBullet"/>
        <w:spacing w:after="50"/>
      </w:pPr>
      <w:r>
        <w:t>Валовая маржа растёт с 66% до 78% благодаря масштабу и оптимизации AI.</w:t>
      </w:r>
    </w:p>
    <w:p>
      <w:pPr>
        <w:pStyle w:val="ListBullet"/>
        <w:spacing w:after="50"/>
      </w:pPr>
      <w:r>
        <w:t>Расходы включают продукт, разработку, контент, поддержку, специалистов, маркетинг, продажи, безопасность и право.</w:t>
      </w:r>
    </w:p>
    <w:p>
      <w:pPr>
        <w:pStyle w:val="Heading2"/>
      </w:pPr>
      <w:r>
        <w:t>20.2. Базовый управленческий 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Показатель, млн ₽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Подготовка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1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2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3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4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5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Средние B2C-плательщики, тыс.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110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B2C-выручка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24,6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138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540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1 620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3 828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B2B-выручка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240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600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Прочая выручка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180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Итого выручка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29,6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165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645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1 950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4 608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Себестоимость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168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468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1 014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3"/>
              </w:rPr>
              <w:t>Операционные расходы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110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220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450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950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3"/>
              </w:rPr>
              <w:t>2 050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3"/>
              </w:rPr>
              <w:t>EBITDA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−55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−90,4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−103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532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3"/>
              </w:rPr>
              <w:t>1 544</w:t>
            </w:r>
          </w:p>
        </w:tc>
      </w:tr>
    </w:tbl>
    <w:p>
      <w:pPr>
        <w:spacing w:after="0"/>
      </w:pPr>
    </w:p>
    <w:p>
      <w:r>
        <w:t>Финансовая таблица является сценарной моделью порядка величин. Она не учитывает детальную налоговую структуру, НДС, амортизацию, стоимость капитала и помесячный cash-flow. После ценового пилота требуется отдельная финансовая модель в Excel.</w:t>
      </w:r>
    </w:p>
    <w:p>
      <w:pPr>
        <w:pStyle w:val="Heading2"/>
      </w:pPr>
      <w:r>
        <w:t>20.3. Сценарии пятого коммерческого года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Средние B2C-плательщики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B2B-лицензии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Выручка</w:t>
            </w:r>
          </w:p>
        </w:tc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Безубыточность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Консервативный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40 тыс.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100–150 тыс. учеников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1,4–1,8 млрд ₽</w:t>
            </w:r>
          </w:p>
        </w:tc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4–5-й год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Базовый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110 тыс.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Около 400 тыс. учеников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Около 4,6 млрд ₽</w:t>
            </w:r>
          </w:p>
        </w:tc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3-й год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Ускоренный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220–260 тыс.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0,8–1,2 млн учеников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8–11 млрд ₽</w:t>
            </w:r>
          </w:p>
        </w:tc>
        <w:tc>
          <w:tcPr>
            <w:tcW w:type="dxa" w:w="158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3-й год при высоком маркетинге</w:t>
            </w:r>
          </w:p>
        </w:tc>
      </w:tr>
    </w:tbl>
    <w:p>
      <w:pPr>
        <w:spacing w:after="0"/>
      </w:pPr>
    </w:p>
    <w:p>
      <w:pPr>
        <w:pStyle w:val="Heading2"/>
      </w:pPr>
      <w:r>
        <w:t>20.4. Финансирование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Раунд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Объём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Условие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Pre-seed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50–70 млн ₽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12–15 месяцев: MVP, методика, безопасность и пилот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Работающий прототип и подтверждённая проблема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Seed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150–220 млн ₽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PMF математики 7–9, маркетинг, контент и операции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Paid retention, CAC и учебный эффект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Growth / Series A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300–600 млн ₽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Предметы, school product, продажи и инфраструктура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B2C unit economics и успешные school pilots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Стратегический капитал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По необходимости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Региональные внедрения, издательства, 3–18 и локализация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Повторяемые продажи и EBITDA-траектория</w:t>
            </w:r>
          </w:p>
        </w:tc>
      </w:tr>
    </w:tbl>
    <w:p>
      <w:pPr>
        <w:spacing w:after="0"/>
      </w:pPr>
    </w:p>
    <w:p>
      <w:r>
        <w:t>Ориентир 500–850 млн ₽ относится к ускоренному шестилетнему плану. В капиталоэффективном сценарии компания дольше остаётся в одном предмете и финансирует расширение из выручки.</w:t>
      </w:r>
    </w:p>
    <w:p>
      <w:pPr>
        <w:pStyle w:val="Heading1"/>
      </w:pPr>
      <w:r>
        <w:t>21. Метрики и ворота масштабирования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Блок</w:t>
            </w:r>
          </w:p>
        </w:tc>
        <w:tc>
          <w:tcPr>
            <w:tcW w:type="dxa" w:w="51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Ключевые метрики</w:t>
            </w:r>
          </w:p>
        </w:tc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Стоп-сигнал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Учебный эффект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Независимый прирост, transfer-задача без подсказки, снижение повторных ошибок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Рост только на знакомых шаблонах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Активация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Завершение диагностики, первая успешная задача, недельный план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Менее 50% получают первую ценность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Удержание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D7/D30, активные дни, выполнение плана, M2 paid retention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Месячный churn выше 12%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AI и математика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Распознавание, корректность, answer-leak rate, жалобы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Критическая ошибка без safe fallback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Экономика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CAC, payback, ARPPU, gross margin, LTV/CAC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LTV/CAC ниже 3 два квартала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Школы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Teacher activation, работы, время, renewal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Использование только при постоянном ручном сопровождении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Безопасность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Инциденты, доступы, удаление, аудит</w:t>
            </w:r>
          </w:p>
        </w:tc>
        <w:tc>
          <w:tcPr>
            <w:tcW w:type="dxa" w:w="272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Неуправляемый инцидент с данными детей</w:t>
            </w:r>
          </w:p>
        </w:tc>
      </w:tr>
    </w:tbl>
    <w:p>
      <w:pPr>
        <w:spacing w:after="0"/>
      </w:pPr>
    </w:p>
    <w:p>
      <w:pPr>
        <w:pStyle w:val="Heading1"/>
      </w:pPr>
      <w:r>
        <w:t>22. Риски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Вероятность / ущерб</w:t>
            </w:r>
          </w:p>
        </w:tc>
        <w:tc>
          <w:tcPr>
            <w:tcW w:type="dxa" w:w="49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Управление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Использование для списывания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Высокая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Попытка перед подсказкой, transfer-задача, контрольный режим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Математическая ошибка AI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Средняя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Детерминированная проверка, confidence, human fallback и eval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Низкая самостоятельность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Высокая / средняя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Наставник, недельный план, родительские сигналы и короткие успехи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Низкая готовность платить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Средняя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Диагностика, ценовые тесты, freemium и доказательство результата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Высокая стоимость контента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Высокая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Один предмет, шаблоны, контентная платформа и переиспользование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Сильные конкуренты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Высокая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Фокус на homework-to-mastery и связке B2C+B2B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Права учебников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Средняя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Собственный контент, метаданные, лицензии и партнёрства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Длинный цикл школ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Высокая / средняя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Частные школы сначала, пилоты, референсы и интеграторы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4"/>
              </w:rPr>
              <w:t>Регуляторные изменения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Средняя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4"/>
              </w:rPr>
              <w:t>Российская инфраструктура, юридический мониторинг и сменные провайдеры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4"/>
              </w:rPr>
              <w:t>Экранное время 3–6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Высокая / высокая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4"/>
              </w:rPr>
              <w:t>Parent-led режим, офлайн-активности и возрастные лимиты</w:t>
            </w:r>
          </w:p>
        </w:tc>
      </w:tr>
    </w:tbl>
    <w:p>
      <w:pPr>
        <w:spacing w:after="0"/>
      </w:pPr>
    </w:p>
    <w:p>
      <w:pPr>
        <w:pStyle w:val="Heading1"/>
      </w:pPr>
      <w:r>
        <w:t>23. План первых 180 дней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776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Недели 1–4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Юридическая схема; 30 интервью; PRD; 150 ключевых навыков; политика подсказок; evaluation-набор.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Недели 5–8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Кликабельный прототип; 3 карты учебников; оригинальный контент по 5 темам; image-to-problem pipeline.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Недели 9–12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Vertical slice: загрузка → попытка → проверка → подсказка → transfer; telemetry и red-team.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Недели 13–16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Диагностика, карта знаний, недельный план и родительский отчёт; набор 30–50 семей.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6"/>
              </w:rPr>
              <w:t>Недели 17–20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6"/>
              </w:rPr>
              <w:t>Закрытый четырёхнедельный пилот; обучение, retention, ошибки и интервью.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6"/>
              </w:rPr>
              <w:t>Недели 21–24</w:t>
            </w:r>
          </w:p>
        </w:tc>
        <w:tc>
          <w:tcPr>
            <w:tcW w:type="dxa" w:w="77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6"/>
              </w:rPr>
              <w:t>Решение GO / PIVOT / STOP; цена; платный beta; подготовка лицензии и следующего раунда.</w:t>
            </w:r>
          </w:p>
        </w:tc>
      </w:tr>
    </w:tbl>
    <w:p>
      <w:pPr>
        <w:spacing w:after="0"/>
      </w:pPr>
    </w:p>
    <w:p>
      <w:pPr>
        <w:pStyle w:val="Heading1"/>
      </w:pPr>
      <w:r>
        <w:t>24.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Оценка</w:t>
            </w:r>
          </w:p>
        </w:tc>
        <w:tc>
          <w:tcPr>
            <w:tcW w:type="dxa" w:w="58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Сила проблемы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9/10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Домашние задания, пробелы, экзамены и нагрузка учителя повторяются постоянно.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Рынок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8/10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Крупная аудитория и платёжный рынок, но высокая конкуренция.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Уникальность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7/10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Функции существуют отдельно; преимущество — в единой системе данных.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Сложность исполнения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3/10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Методика, AI, детские данные, контент и B2B делают проект сложным.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Масштабируемость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8/10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После ядра возможны возраста, предметы и школы.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b/>
                <w:sz w:val="15"/>
              </w:rPr>
              <w:t>Шанс при узком старте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7/10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AFC"/>
          </w:tcPr>
          <w:p>
            <w:r>
              <w:rPr>
                <w:sz w:val="15"/>
              </w:rPr>
              <w:t>При сильной команде, пилотах и строгих воротах.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  <w:sz w:val="15"/>
              </w:rPr>
              <w:t>Шанс при запуске всего 3–18 сразу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2/10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  <w:t>Неподъёмный scope и отсутствие данных для персонализации.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5E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r>
              <w:rPr>
                <w:b/>
                <w:color w:val="1F2937"/>
                <w:sz w:val="21"/>
              </w:rPr>
              <w:t>Итог</w:t>
              <w:br/>
            </w:r>
            <w:r>
              <w:rPr>
                <w:sz w:val="19"/>
              </w:rPr>
              <w:t>Проект следует развивать. Инвестиционная логика основана на узком первом продукте и широкой платформенной перспективе. Ключевая проверка — доказать, что ребёнок после помощи решает аналогичную задачу самостоятельно, а семья готова регулярно платить за этот результат.</w:t>
            </w:r>
          </w:p>
        </w:tc>
      </w:tr>
    </w:tbl>
    <w:p>
      <w:pPr>
        <w:spacing w:after="0"/>
      </w:pPr>
    </w:p>
    <w:p>
      <w:pPr>
        <w:pStyle w:val="Heading1"/>
      </w:pPr>
      <w:r>
        <w:t>25. Источники</w:t>
      </w:r>
    </w:p>
    <w:p>
      <w:pPr>
        <w:pStyle w:val="BodySmall"/>
        <w:ind w:left="113"/>
      </w:pPr>
      <w:r>
        <w:rPr>
          <w:b/>
        </w:rPr>
        <w:t xml:space="preserve">[1] Минпросвещения России. Дошкольным образованием охвачено 6,4 млн детей; 18 млн школьников. </w:t>
      </w:r>
      <w:hyperlink r:id="rId11">
        <w:r>
          <w:rPr>
            <w:color w:val="0563C1"/>
            <w:u w:val="single"/>
          </w:rPr>
          <w:t>https://edu.gov.ru/press/10097/aleksandr-bugaev-prinyal-uchastie-v-zasedanii-komiteta-soveta-federacii-po-nauke-obrazovaniyu-i-kulture/</w:t>
        </w:r>
      </w:hyperlink>
      <w:r>
        <w:t xml:space="preserve"> 1 июля 2025</w:t>
      </w:r>
    </w:p>
    <w:p>
      <w:pPr>
        <w:pStyle w:val="BodySmall"/>
        <w:ind w:left="113"/>
      </w:pPr>
      <w:r>
        <w:rPr>
          <w:b/>
        </w:rPr>
        <w:t xml:space="preserve">[2] Минпросвещения России. Почти 18 млн школьников в 2025/26 учебном году. </w:t>
      </w:r>
      <w:hyperlink r:id="rId12">
        <w:r>
          <w:rPr>
            <w:color w:val="0563C1"/>
            <w:u w:val="single"/>
          </w:rPr>
          <w:t>https://edu.gov.ru/press/10331/sergey-kravcov-na-soveschanii-s-chlenami-pravitelstva-rf-dolozhil-vladimiru-putinu-o-gotovnosti-shkol-k-nachalu-uchebnogo-goda/</w:t>
        </w:r>
      </w:hyperlink>
      <w:r>
        <w:t xml:space="preserve"> 27 августа 2025</w:t>
      </w:r>
    </w:p>
    <w:p>
      <w:pPr>
        <w:pStyle w:val="BodySmall"/>
        <w:ind w:left="113"/>
      </w:pPr>
      <w:r>
        <w:rPr>
          <w:b/>
        </w:rPr>
        <w:t xml:space="preserve">[3] ED Tech / Smart Ranking. Детское онлайн-образование: 36% рынка, около 55 млрд ₽. </w:t>
      </w:r>
      <w:hyperlink r:id="rId13">
        <w:r>
          <w:rPr>
            <w:color w:val="0563C1"/>
            <w:u w:val="single"/>
          </w:rPr>
          <w:t>https://edtechs.ru/analitika-i-intervyu/</w:t>
        </w:r>
      </w:hyperlink>
      <w:r>
        <w:t xml:space="preserve"> данные по 2025 году</w:t>
      </w:r>
    </w:p>
    <w:p>
      <w:pPr>
        <w:pStyle w:val="BodySmall"/>
        <w:ind w:left="113"/>
      </w:pPr>
      <w:r>
        <w:rPr>
          <w:b/>
        </w:rPr>
        <w:t xml:space="preserve">[4] СберБизнес Live. Рынок онлайн-подготовки к экзаменам превысил 19 млрд ₽. </w:t>
      </w:r>
      <w:hyperlink r:id="rId14">
        <w:r>
          <w:rPr>
            <w:color w:val="0563C1"/>
            <w:u w:val="single"/>
          </w:rPr>
          <w:t>https://sberbusiness.live/publications/trendi-rinka-onlain-obrazovaniya-2024-chto-nuzhno-znat-esli-vi-reshili-otkrit-onlain-shkolu</w:t>
        </w:r>
      </w:hyperlink>
      <w:r>
        <w:t xml:space="preserve"> 19 мая 2026</w:t>
      </w:r>
    </w:p>
    <w:p>
      <w:pPr>
        <w:pStyle w:val="BodySmall"/>
        <w:ind w:left="113"/>
      </w:pPr>
      <w:r>
        <w:rPr>
          <w:b/>
        </w:rPr>
        <w:t xml:space="preserve">[5] Рособрнадзор. ОГЭ-2025: более 1,66 млн девятиклассников. </w:t>
      </w:r>
      <w:hyperlink r:id="rId15">
        <w:r>
          <w:rPr>
            <w:color w:val="0563C1"/>
            <w:u w:val="single"/>
          </w:rPr>
          <w:t>https://obrnadzor.gov.ru/news/oge-v-osnovnoj-period-provedeniya-ekzamenov-2025-goda-sdadut-bolee-166-milliona-devyatiklassnikov/</w:t>
        </w:r>
      </w:hyperlink>
      <w:r>
        <w:t xml:space="preserve"> 21 мая 2025</w:t>
      </w:r>
    </w:p>
    <w:p>
      <w:pPr>
        <w:pStyle w:val="BodySmall"/>
        <w:ind w:left="113"/>
      </w:pPr>
      <w:r>
        <w:rPr>
          <w:b/>
        </w:rPr>
        <w:t xml:space="preserve">[6] ФИПИ. Официальные материалы ОГЭ 2026. </w:t>
      </w:r>
      <w:hyperlink r:id="rId16">
        <w:r>
          <w:rPr>
            <w:color w:val="0563C1"/>
            <w:u w:val="single"/>
          </w:rPr>
          <w:t>https://fipi.ru/oge/demoversii-specifikacii-kodifikatory</w:t>
        </w:r>
      </w:hyperlink>
      <w:r>
        <w:t xml:space="preserve"> кодификаторы и спецификации</w:t>
      </w:r>
    </w:p>
    <w:p>
      <w:pPr>
        <w:pStyle w:val="BodySmall"/>
        <w:ind w:left="113"/>
      </w:pPr>
      <w:r>
        <w:rPr>
          <w:b/>
        </w:rPr>
        <w:t xml:space="preserve">[7] Минпросвещения России. Федеральный перечень учебников. </w:t>
      </w:r>
      <w:hyperlink r:id="rId17">
        <w:r>
          <w:rPr>
            <w:color w:val="0563C1"/>
            <w:u w:val="single"/>
          </w:rPr>
          <w:t>https://edu.gov.ru/about/apparatus/uchebniki/</w:t>
        </w:r>
      </w:hyperlink>
      <w:r>
        <w:t xml:space="preserve"> документы 2026 года</w:t>
      </w:r>
    </w:p>
    <w:p>
      <w:pPr>
        <w:pStyle w:val="BodySmall"/>
        <w:ind w:left="113"/>
      </w:pPr>
      <w:r>
        <w:rPr>
          <w:b/>
        </w:rPr>
        <w:t xml:space="preserve">[8] КонсультантПлюс. Лицензирование образовательной деятельности. </w:t>
      </w:r>
      <w:hyperlink r:id="rId18">
        <w:r>
          <w:rPr>
            <w:color w:val="0563C1"/>
            <w:u w:val="single"/>
          </w:rPr>
          <w:t>https://www.consultant.ru/document/cons_doc_LAW_140174/dda3cee5868d1739eb34ccd9e8a98085fa2c76e2/</w:t>
        </w:r>
      </w:hyperlink>
      <w:r>
        <w:t xml:space="preserve"> статья 91 закона 273-ФЗ</w:t>
      </w:r>
    </w:p>
    <w:p>
      <w:pPr>
        <w:pStyle w:val="BodySmall"/>
        <w:ind w:left="113"/>
      </w:pPr>
      <w:r>
        <w:rPr>
          <w:b/>
        </w:rPr>
        <w:t xml:space="preserve">[9] Роскомнадзор. Локализация персональных данных граждан РФ. </w:t>
      </w:r>
      <w:hyperlink r:id="rId19">
        <w:r>
          <w:rPr>
            <w:color w:val="0563C1"/>
            <w:u w:val="single"/>
          </w:rPr>
          <w:t>https://old.rkn.gov.ru/news/rsoc/news73732.htm</w:t>
        </w:r>
      </w:hyperlink>
      <w:r>
        <w:t xml:space="preserve"> требования 152-ФЗ</w:t>
      </w:r>
    </w:p>
    <w:p>
      <w:pPr>
        <w:pStyle w:val="BodySmall"/>
        <w:ind w:left="113"/>
      </w:pPr>
      <w:r>
        <w:rPr>
          <w:b/>
        </w:rPr>
        <w:t xml:space="preserve">[10] КонсультантПлюс. Возрастная маркировка информационной продукции. </w:t>
      </w:r>
      <w:hyperlink r:id="rId20">
        <w:r>
          <w:rPr>
            <w:color w:val="0563C1"/>
            <w:u w:val="single"/>
          </w:rPr>
          <w:t>https://www.consultant.ru/document/cons_doc_LAW_108808/553f0edac652ab327b379960f12fa3f0cbdd65d6/</w:t>
        </w:r>
      </w:hyperlink>
      <w:r>
        <w:t xml:space="preserve"> 436-ФЗ</w:t>
      </w:r>
    </w:p>
    <w:p>
      <w:pPr>
        <w:pStyle w:val="BodySmall"/>
        <w:ind w:left="113"/>
      </w:pPr>
      <w:r>
        <w:rPr>
          <w:b/>
        </w:rPr>
        <w:t xml:space="preserve">[11] КонсультантПлюс. Свободное использование произведений в учебных целях. </w:t>
      </w:r>
      <w:hyperlink r:id="rId21">
        <w:r>
          <w:rPr>
            <w:color w:val="0563C1"/>
            <w:u w:val="single"/>
          </w:rPr>
          <w:t>https://www.consultant.ru/document/cons_doc_LAW_64629/84bbd636598a59112a4fe972432343dd4f51da1d/</w:t>
        </w:r>
      </w:hyperlink>
      <w:r>
        <w:t xml:space="preserve"> статья 1274 ГК РФ</w:t>
      </w:r>
    </w:p>
    <w:p>
      <w:pPr>
        <w:pStyle w:val="BodySmall"/>
        <w:ind w:left="113"/>
      </w:pPr>
      <w:r>
        <w:rPr>
          <w:b/>
        </w:rPr>
        <w:t xml:space="preserve">[12] КонсультантПлюс. Исключительное право на произведение. </w:t>
      </w:r>
      <w:hyperlink r:id="rId22">
        <w:r>
          <w:rPr>
            <w:color w:val="0563C1"/>
            <w:u w:val="single"/>
          </w:rPr>
          <w:t>https://www.consultant.ru/document/cons_doc_LAW_64629/dffcf0b87b80ff38f430dc822a0074e76ccd41a0/</w:t>
        </w:r>
      </w:hyperlink>
      <w:r>
        <w:t xml:space="preserve"> статья 1270 ГК РФ</w:t>
      </w:r>
    </w:p>
    <w:p>
      <w:pPr>
        <w:pStyle w:val="BodySmall"/>
        <w:ind w:left="113"/>
      </w:pPr>
      <w:r>
        <w:rPr>
          <w:b/>
        </w:rPr>
        <w:t xml:space="preserve">[13] Минцифры России. Реестр российского программного обеспечения. </w:t>
      </w:r>
      <w:hyperlink r:id="rId23">
        <w:r>
          <w:rPr>
            <w:color w:val="0563C1"/>
            <w:u w:val="single"/>
          </w:rPr>
          <w:t>https://reestr.digital.gov.ru/reestr/</w:t>
        </w:r>
      </w:hyperlink>
      <w:r>
        <w:t xml:space="preserve"> B2G readiness</w:t>
      </w:r>
    </w:p>
    <w:p>
      <w:pPr>
        <w:pStyle w:val="BodySmall"/>
        <w:ind w:left="113"/>
      </w:pPr>
      <w:r>
        <w:rPr>
          <w:b/>
        </w:rPr>
        <w:t xml:space="preserve">[14] КонсультантПлюс. Закупки бюджетных учреждений. </w:t>
      </w:r>
      <w:hyperlink r:id="rId24">
        <w:r>
          <w:rPr>
            <w:color w:val="0563C1"/>
            <w:u w:val="single"/>
          </w:rPr>
          <w:t>https://www.consultant.ru/document/cons_doc_LAW_144624/df3ace0ea577a92ea8b71c0d4363fbbe79da7160/</w:t>
        </w:r>
      </w:hyperlink>
      <w:r>
        <w:t xml:space="preserve"> 44-ФЗ</w:t>
      </w:r>
    </w:p>
    <w:p>
      <w:pPr>
        <w:pStyle w:val="BodySmall"/>
        <w:ind w:left="113"/>
      </w:pPr>
      <w:r>
        <w:rPr>
          <w:b/>
        </w:rPr>
        <w:t xml:space="preserve">[15] Минпросвещения России. Экспертиза электронных учебно-методических материалов. </w:t>
      </w:r>
      <w:hyperlink r:id="rId25">
        <w:r>
          <w:rPr>
            <w:color w:val="0563C1"/>
            <w:u w:val="single"/>
          </w:rPr>
          <w:t>https://edu.gov.ru/press/9433/15-fevralya-startuet-sbor-zayavok-na-provedenie-ekspertizy-elektronnyh-uchebno-metodicheskih-materialov/</w:t>
        </w:r>
      </w:hyperlink>
      <w:r>
        <w:t xml:space="preserve"> 14 февраля 2025</w:t>
      </w:r>
    </w:p>
    <w:p>
      <w:pPr>
        <w:pStyle w:val="BodySmall"/>
        <w:ind w:left="113"/>
      </w:pPr>
      <w:r>
        <w:rPr>
          <w:b/>
        </w:rPr>
        <w:t xml:space="preserve">[16] ЯКласс. Проверочные работы и статистика классов. </w:t>
      </w:r>
      <w:hyperlink r:id="rId26">
        <w:r>
          <w:rPr>
            <w:color w:val="0563C1"/>
            <w:u w:val="single"/>
          </w:rPr>
          <w:t>https://docs.yaklass.ru/testworks/testwork-assign/</w:t>
        </w:r>
      </w:hyperlink>
      <w:r>
        <w:t xml:space="preserve"> конкурентный school workflow</w:t>
      </w:r>
    </w:p>
    <w:p>
      <w:pPr>
        <w:pStyle w:val="BodySmall"/>
        <w:ind w:left="113"/>
      </w:pPr>
      <w:r>
        <w:rPr>
          <w:b/>
        </w:rPr>
        <w:t xml:space="preserve">[17] Яндекс Учебник. ИИ-помощник и материалы для учителей. </w:t>
      </w:r>
      <w:hyperlink r:id="rId27">
        <w:r>
          <w:rPr>
            <w:color w:val="0563C1"/>
            <w:u w:val="single"/>
          </w:rPr>
          <w:t>https://education.yandex.ru/uchebnik/main</w:t>
        </w:r>
      </w:hyperlink>
      <w:r>
        <w:t xml:space="preserve"> конкурентный продукт</w:t>
      </w:r>
    </w:p>
    <w:p>
      <w:pPr>
        <w:pStyle w:val="BodySmall"/>
        <w:ind w:left="113"/>
      </w:pPr>
      <w:r>
        <w:rPr>
          <w:b/>
        </w:rPr>
        <w:t xml:space="preserve">[18] Учи.ру. Интерактивные курсы 1–11. </w:t>
      </w:r>
      <w:hyperlink r:id="rId28">
        <w:r>
          <w:rPr>
            <w:color w:val="0563C1"/>
            <w:u w:val="single"/>
          </w:rPr>
          <w:t>https://uchi.ru/</w:t>
        </w:r>
      </w:hyperlink>
      <w:r>
        <w:t xml:space="preserve"> конкурентный продукт</w:t>
      </w:r>
    </w:p>
    <w:p>
      <w:pPr>
        <w:pStyle w:val="BodySmall"/>
        <w:ind w:left="113"/>
      </w:pPr>
      <w:r>
        <w:rPr>
          <w:b/>
        </w:rPr>
        <w:t xml:space="preserve">[19] Просвещение. Электронные учебники и банк заданий. </w:t>
      </w:r>
      <w:hyperlink r:id="rId29">
        <w:r>
          <w:rPr>
            <w:color w:val="0563C1"/>
            <w:u w:val="single"/>
          </w:rPr>
          <w:t>https://media.prosv.ru/</w:t>
        </w:r>
      </w:hyperlink>
      <w:r>
        <w:t xml:space="preserve"> издательская экосистема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664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6647F"/>
        <w:sz w:val="16"/>
      </w:rPr>
      <w:t>Бизнес-план платформы 3–18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664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4664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60" w:line="252" w:lineRule="auto"/>
    </w:pPr>
    <w:rPr>
      <w:rFonts w:ascii="Liberation Sans" w:hAnsi="Liberation Sans" w:eastAsia="Liberation Sans"/>
      <w:sz w:val="17"/>
    </w:rPr>
  </w:style>
  <w:style w:type="paragraph" w:customStyle="1" w:styleId="CodeBlock">
    <w:name w:val="Code Block"/>
    <w:pPr>
      <w:spacing w:after="0" w:line="240" w:lineRule="auto"/>
      <w:ind w:left="170" w:right="170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du.gov.ru/press/10097/aleksandr-bugaev-prinyal-uchastie-v-zasedanii-komiteta-soveta-federacii-po-nauke-obrazovaniyu-i-kulture/" TargetMode="External"/><Relationship Id="rId12" Type="http://schemas.openxmlformats.org/officeDocument/2006/relationships/hyperlink" Target="https://edu.gov.ru/press/10331/sergey-kravcov-na-soveschanii-s-chlenami-pravitelstva-rf-dolozhil-vladimiru-putinu-o-gotovnosti-shkol-k-nachalu-uchebnogo-goda/" TargetMode="External"/><Relationship Id="rId13" Type="http://schemas.openxmlformats.org/officeDocument/2006/relationships/hyperlink" Target="https://edtechs.ru/analitika-i-intervyu/" TargetMode="External"/><Relationship Id="rId14" Type="http://schemas.openxmlformats.org/officeDocument/2006/relationships/hyperlink" Target="https://sberbusiness.live/publications/trendi-rinka-onlain-obrazovaniya-2024-chto-nuzhno-znat-esli-vi-reshili-otkrit-onlain-shkolu" TargetMode="External"/><Relationship Id="rId15" Type="http://schemas.openxmlformats.org/officeDocument/2006/relationships/hyperlink" Target="https://obrnadzor.gov.ru/news/oge-v-osnovnoj-period-provedeniya-ekzamenov-2025-goda-sdadut-bolee-166-milliona-devyatiklassnikov/" TargetMode="External"/><Relationship Id="rId16" Type="http://schemas.openxmlformats.org/officeDocument/2006/relationships/hyperlink" Target="https://fipi.ru/oge/demoversii-specifikacii-kodifikatory" TargetMode="External"/><Relationship Id="rId17" Type="http://schemas.openxmlformats.org/officeDocument/2006/relationships/hyperlink" Target="https://edu.gov.ru/about/apparatus/uchebniki/" TargetMode="External"/><Relationship Id="rId18" Type="http://schemas.openxmlformats.org/officeDocument/2006/relationships/hyperlink" Target="https://www.consultant.ru/document/cons_doc_LAW_140174/dda3cee5868d1739eb34ccd9e8a98085fa2c76e2/" TargetMode="External"/><Relationship Id="rId19" Type="http://schemas.openxmlformats.org/officeDocument/2006/relationships/hyperlink" Target="https://old.rkn.gov.ru/news/rsoc/news73732.htm" TargetMode="External"/><Relationship Id="rId20" Type="http://schemas.openxmlformats.org/officeDocument/2006/relationships/hyperlink" Target="https://www.consultant.ru/document/cons_doc_LAW_108808/553f0edac652ab327b379960f12fa3f0cbdd65d6/" TargetMode="External"/><Relationship Id="rId21" Type="http://schemas.openxmlformats.org/officeDocument/2006/relationships/hyperlink" Target="https://www.consultant.ru/document/cons_doc_LAW_64629/84bbd636598a59112a4fe972432343dd4f51da1d/" TargetMode="External"/><Relationship Id="rId22" Type="http://schemas.openxmlformats.org/officeDocument/2006/relationships/hyperlink" Target="https://www.consultant.ru/document/cons_doc_LAW_64629/dffcf0b87b80ff38f430dc822a0074e76ccd41a0/" TargetMode="External"/><Relationship Id="rId23" Type="http://schemas.openxmlformats.org/officeDocument/2006/relationships/hyperlink" Target="https://reestr.digital.gov.ru/reestr/" TargetMode="External"/><Relationship Id="rId24" Type="http://schemas.openxmlformats.org/officeDocument/2006/relationships/hyperlink" Target="https://www.consultant.ru/document/cons_doc_LAW_144624/df3ace0ea577a92ea8b71c0d4363fbbe79da7160/" TargetMode="External"/><Relationship Id="rId25" Type="http://schemas.openxmlformats.org/officeDocument/2006/relationships/hyperlink" Target="https://edu.gov.ru/press/9433/15-fevralya-startuet-sbor-zayavok-na-provedenie-ekspertizy-elektronnyh-uchebno-metodicheskih-materialov/" TargetMode="External"/><Relationship Id="rId26" Type="http://schemas.openxmlformats.org/officeDocument/2006/relationships/hyperlink" Target="https://docs.yaklass.ru/testworks/testwork-assign/" TargetMode="External"/><Relationship Id="rId27" Type="http://schemas.openxmlformats.org/officeDocument/2006/relationships/hyperlink" Target="https://education.yandex.ru/uchebnik/main" TargetMode="External"/><Relationship Id="rId28" Type="http://schemas.openxmlformats.org/officeDocument/2006/relationships/hyperlink" Target="https://uchi.ru/" TargetMode="External"/><Relationship Id="rId29" Type="http://schemas.openxmlformats.org/officeDocument/2006/relationships/hyperlink" Target="https://media.pros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