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Imperial Wastewater Recovery</w:t>
      </w:r>
    </w:p>
    <w:p>
      <w:pPr>
        <w:pStyle w:val="Normal"/>
        <w:jc w:val="center"/>
        <w:rPr/>
      </w:pPr>
      <w:r>
        <w:rPr>
          <w:b/>
          <w:sz w:val="48"/>
        </w:rPr>
        <w:t>and Salton Sea Equilibrium</w:t>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Date: March 14, 2026</w:t>
      </w:r>
    </w:p>
    <w:p>
      <w:pPr>
        <w:pStyle w:val="Normal"/>
        <w:jc w:val="center"/>
        <w:rPr/>
      </w:pPr>
      <w:r>
        <w:rPr>
          <w:sz w:val="28"/>
        </w:rPr>
        <w:t>Version  1.1</w:t>
      </w:r>
    </w:p>
    <w:p>
      <w:pPr>
        <w:pStyle w:val="Normal"/>
        <w:jc w:val="center"/>
        <w:rPr>
          <w:sz w:val="22"/>
          <w:szCs w:val="22"/>
        </w:rPr>
      </w:pPr>
      <w:r>
        <w:rPr>
          <w:sz w:val="22"/>
          <w:szCs w:val="22"/>
        </w:rPr>
        <w:t>Living Document, Work in Progress, Don’t Sue Me, Join Me</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154295" cy="494093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154295" cy="4940935"/>
                    </a:xfrm>
                    <a:prstGeom prst="rect">
                      <a:avLst/>
                    </a:prstGeom>
                  </pic:spPr>
                </pic:pic>
              </a:graphicData>
            </a:graphic>
          </wp:anchor>
        </w:drawing>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370_30329480061">
            <w:r>
              <w:rPr>
                <w:rStyle w:val="IndexLink"/>
              </w:rPr>
              <w:t>Executive Summary</w:t>
              <w:tab/>
              <w:t>4</w:t>
            </w:r>
          </w:hyperlink>
        </w:p>
        <w:p>
          <w:pPr>
            <w:pStyle w:val="Contents1"/>
            <w:tabs>
              <w:tab w:val="clear" w:pos="12960"/>
              <w:tab w:val="right" w:pos="9360" w:leader="dot"/>
            </w:tabs>
            <w:rPr/>
          </w:pPr>
          <w:hyperlink w:anchor="__RefHeading___Toc1370_3032948006">
            <w:r>
              <w:rPr>
                <w:rStyle w:val="IndexLink"/>
              </w:rPr>
              <w:t>Colorado River Foundational Principles, What do we fight for. V0.5</w:t>
              <w:tab/>
              <w:t>5</w:t>
            </w:r>
          </w:hyperlink>
        </w:p>
        <w:p>
          <w:pPr>
            <w:pStyle w:val="Contents1"/>
            <w:tabs>
              <w:tab w:val="clear" w:pos="12960"/>
              <w:tab w:val="right" w:pos="9360" w:leader="dot"/>
            </w:tabs>
            <w:rPr/>
          </w:pPr>
          <w:hyperlink w:anchor="__RefHeading___Toc10024_4147804815">
            <w:r>
              <w:rPr>
                <w:rStyle w:val="IndexLink"/>
              </w:rPr>
              <w:t>Disclaimer</w:t>
              <w:tab/>
              <w:t>6</w:t>
            </w:r>
          </w:hyperlink>
        </w:p>
        <w:p>
          <w:pPr>
            <w:pStyle w:val="Contents1"/>
            <w:tabs>
              <w:tab w:val="clear" w:pos="12960"/>
              <w:tab w:val="right" w:pos="9360" w:leader="dot"/>
            </w:tabs>
            <w:rPr/>
          </w:pPr>
          <w:hyperlink w:anchor="__RefHeading___Toc755_3032948006">
            <w:r>
              <w:rPr>
                <w:rStyle w:val="IndexLink"/>
              </w:rPr>
              <w:t>Operations, Accounting and NEPA</w:t>
              <w:tab/>
              <w:t>6</w:t>
            </w:r>
          </w:hyperlink>
        </w:p>
        <w:p>
          <w:pPr>
            <w:pStyle w:val="Contents2"/>
            <w:tabs>
              <w:tab w:val="clear" w:pos="12677"/>
              <w:tab w:val="right" w:pos="9360" w:leader="dot"/>
            </w:tabs>
            <w:rPr/>
          </w:pPr>
          <w:hyperlink w:anchor="__RefHeading___Toc638_3032085257">
            <w:r>
              <w:rPr>
                <w:rStyle w:val="IndexLink"/>
              </w:rPr>
              <w:t>Colorado River System Accounting</w:t>
              <w:tab/>
              <w:t>6</w:t>
            </w:r>
          </w:hyperlink>
        </w:p>
        <w:p>
          <w:pPr>
            <w:pStyle w:val="Contents3"/>
            <w:tabs>
              <w:tab w:val="clear" w:pos="8793"/>
              <w:tab w:val="right" w:pos="9360" w:leader="dot"/>
            </w:tabs>
            <w:rPr/>
          </w:pPr>
          <w:hyperlink w:anchor="__RefHeading___Toc10036_4147804815">
            <w:r>
              <w:rPr>
                <w:rStyle w:val="IndexLink"/>
              </w:rPr>
              <w:t>Gila River Accounting Transparency</w:t>
              <w:tab/>
              <w:t>6</w:t>
            </w:r>
          </w:hyperlink>
        </w:p>
        <w:p>
          <w:pPr>
            <w:pStyle w:val="Contents3"/>
            <w:tabs>
              <w:tab w:val="clear" w:pos="8793"/>
              <w:tab w:val="right" w:pos="9360" w:leader="dot"/>
            </w:tabs>
            <w:rPr/>
          </w:pPr>
          <w:hyperlink w:anchor="__RefHeading___Toc10038_4147804815">
            <w:r>
              <w:rPr>
                <w:rStyle w:val="IndexLink"/>
              </w:rPr>
              <w:t>The Math Dataset</w:t>
              <w:tab/>
              <w:t>6</w:t>
            </w:r>
          </w:hyperlink>
        </w:p>
        <w:p>
          <w:pPr>
            <w:pStyle w:val="Contents3"/>
            <w:tabs>
              <w:tab w:val="clear" w:pos="8793"/>
              <w:tab w:val="right" w:pos="9360" w:leader="dot"/>
            </w:tabs>
            <w:rPr/>
          </w:pPr>
          <w:hyperlink w:anchor="__RefHeading___Toc10048_4147804815">
            <w:r>
              <w:rPr>
                <w:rStyle w:val="IndexLink"/>
              </w:rPr>
              <w:t>Table 1 – The Math</w:t>
              <w:tab/>
              <w:t>7</w:t>
            </w:r>
          </w:hyperlink>
        </w:p>
        <w:p>
          <w:pPr>
            <w:pStyle w:val="Contents3"/>
            <w:tabs>
              <w:tab w:val="clear" w:pos="8793"/>
              <w:tab w:val="right" w:pos="9360" w:leader="dot"/>
            </w:tabs>
            <w:rPr/>
          </w:pPr>
          <w:hyperlink w:anchor="__RefHeading___Toc10040_4147804815">
            <w:r>
              <w:rPr>
                <w:rStyle w:val="IndexLink"/>
              </w:rPr>
              <w:t>Lower Basin Annual Report Accessibility</w:t>
              <w:tab/>
              <w:t>9</w:t>
            </w:r>
          </w:hyperlink>
        </w:p>
        <w:p>
          <w:pPr>
            <w:pStyle w:val="Contents3"/>
            <w:tabs>
              <w:tab w:val="clear" w:pos="8793"/>
              <w:tab w:val="right" w:pos="9360" w:leader="dot"/>
            </w:tabs>
            <w:rPr/>
          </w:pPr>
          <w:hyperlink w:anchor="__RefHeading___Toc5829_4147804815">
            <w:r>
              <w:rPr>
                <w:rStyle w:val="IndexLink"/>
              </w:rPr>
              <w:t>CRBFC Lake Powell Inflow Forecasts</w:t>
              <w:tab/>
              <w:t>9</w:t>
            </w:r>
          </w:hyperlink>
        </w:p>
        <w:p>
          <w:pPr>
            <w:pStyle w:val="Contents2"/>
            <w:tabs>
              <w:tab w:val="clear" w:pos="12677"/>
              <w:tab w:val="right" w:pos="9360" w:leader="dot"/>
            </w:tabs>
            <w:rPr/>
          </w:pPr>
          <w:hyperlink w:anchor="__RefHeading___Toc757_3032948006">
            <w:r>
              <w:rPr>
                <w:rStyle w:val="IndexLink"/>
              </w:rPr>
              <w:t>Run-of-the-River Operations at Glen Canyon Dam</w:t>
              <w:tab/>
              <w:t>10</w:t>
            </w:r>
          </w:hyperlink>
        </w:p>
        <w:p>
          <w:pPr>
            <w:pStyle w:val="Contents2"/>
            <w:tabs>
              <w:tab w:val="clear" w:pos="12677"/>
              <w:tab w:val="right" w:pos="9360" w:leader="dot"/>
            </w:tabs>
            <w:rPr/>
          </w:pPr>
          <w:hyperlink w:anchor="__RefHeading___Toc640_3032085257">
            <w:r>
              <w:rPr>
                <w:rStyle w:val="IndexLink"/>
              </w:rPr>
              <w:t>Compact Compliance Infrastructure Protection Pool (CCIPP)</w:t>
              <w:tab/>
              <w:t>14</w:t>
            </w:r>
          </w:hyperlink>
        </w:p>
        <w:p>
          <w:pPr>
            <w:pStyle w:val="Contents3"/>
            <w:tabs>
              <w:tab w:val="clear" w:pos="8793"/>
              <w:tab w:val="right" w:pos="9360" w:leader="dot"/>
            </w:tabs>
            <w:rPr/>
          </w:pPr>
          <w:hyperlink w:anchor="__RefHeading___Toc5661_4147804815">
            <w:r>
              <w:rPr>
                <w:rStyle w:val="IndexLink"/>
              </w:rPr>
              <w:t>Power Water Stranded and Potentially Stranded</w:t>
              <w:tab/>
              <w:t>15</w:t>
            </w:r>
          </w:hyperlink>
        </w:p>
        <w:p>
          <w:pPr>
            <w:pStyle w:val="Contents3"/>
            <w:tabs>
              <w:tab w:val="clear" w:pos="8793"/>
              <w:tab w:val="right" w:pos="9360" w:leader="dot"/>
            </w:tabs>
            <w:rPr/>
          </w:pPr>
          <w:hyperlink w:anchor="__RefHeading___Toc1017_3744599050">
            <w:r>
              <w:rPr>
                <w:rStyle w:val="IndexLink"/>
              </w:rPr>
              <w:t>Our Alternatives</w:t>
              <w:tab/>
              <w:t>17</w:t>
            </w:r>
          </w:hyperlink>
        </w:p>
        <w:p>
          <w:pPr>
            <w:pStyle w:val="Contents1"/>
            <w:tabs>
              <w:tab w:val="clear" w:pos="12960"/>
              <w:tab w:val="right" w:pos="9360" w:leader="dot"/>
            </w:tabs>
            <w:rPr/>
          </w:pPr>
          <w:hyperlink w:anchor="__RefHeading___Toc5663_4147804815">
            <w:r>
              <w:rPr>
                <w:rStyle w:val="IndexLink"/>
              </w:rPr>
              <w:t>A New Era of Cooperation</w:t>
              <w:tab/>
              <w:t>19</w:t>
            </w:r>
          </w:hyperlink>
        </w:p>
        <w:p>
          <w:pPr>
            <w:pStyle w:val="Contents2"/>
            <w:tabs>
              <w:tab w:val="clear" w:pos="12677"/>
              <w:tab w:val="right" w:pos="9360" w:leader="dot"/>
            </w:tabs>
            <w:rPr/>
          </w:pPr>
          <w:hyperlink w:anchor="__RefHeading___Toc5665_4147804815">
            <w:r>
              <w:rPr>
                <w:rStyle w:val="IndexLink"/>
              </w:rPr>
              <w:t>The Salton Sea Problem</w:t>
              <w:tab/>
              <w:t>19</w:t>
            </w:r>
          </w:hyperlink>
        </w:p>
        <w:p>
          <w:pPr>
            <w:pStyle w:val="Contents2"/>
            <w:tabs>
              <w:tab w:val="clear" w:pos="12677"/>
              <w:tab w:val="right" w:pos="9360" w:leader="dot"/>
            </w:tabs>
            <w:rPr/>
          </w:pPr>
          <w:hyperlink w:anchor="__RefHeading___Toc5787_4147804815">
            <w:r>
              <w:rPr>
                <w:rStyle w:val="IndexLink"/>
              </w:rPr>
              <w:t>Lower Basin Aquifer Utilization</w:t>
              <w:tab/>
              <w:t>21</w:t>
            </w:r>
          </w:hyperlink>
        </w:p>
        <w:p>
          <w:pPr>
            <w:pStyle w:val="Contents2"/>
            <w:tabs>
              <w:tab w:val="clear" w:pos="12677"/>
              <w:tab w:val="right" w:pos="9360" w:leader="dot"/>
            </w:tabs>
            <w:rPr/>
          </w:pPr>
          <w:hyperlink w:anchor="__RefHeading___Toc5789_4147804815">
            <w:r>
              <w:rPr>
                <w:rStyle w:val="IndexLink"/>
              </w:rPr>
              <w:t>Fire Deficit In Our Forests</w:t>
              <w:tab/>
              <w:t>22</w:t>
            </w:r>
          </w:hyperlink>
        </w:p>
        <w:p>
          <w:pPr>
            <w:pStyle w:val="Contents2"/>
            <w:tabs>
              <w:tab w:val="clear" w:pos="12677"/>
              <w:tab w:val="right" w:pos="9360" w:leader="dot"/>
            </w:tabs>
            <w:rPr/>
          </w:pPr>
          <w:hyperlink w:anchor="__RefHeading___Toc5791_4147804815">
            <w:r>
              <w:rPr>
                <w:rStyle w:val="IndexLink"/>
              </w:rPr>
              <w:t>Upper Basin Irrigation Efficiency</w:t>
              <w:tab/>
              <w:t>22</w:t>
            </w:r>
          </w:hyperlink>
        </w:p>
        <w:p>
          <w:pPr>
            <w:pStyle w:val="Contents2"/>
            <w:tabs>
              <w:tab w:val="clear" w:pos="12677"/>
              <w:tab w:val="right" w:pos="9360" w:leader="dot"/>
            </w:tabs>
            <w:rPr/>
          </w:pPr>
          <w:hyperlink w:anchor="__RefHeading___Toc5793_4147804815">
            <w:r>
              <w:rPr>
                <w:rStyle w:val="IndexLink"/>
              </w:rPr>
              <w:t>Desalination</w:t>
              <w:tab/>
              <w:t>22</w:t>
            </w:r>
          </w:hyperlink>
        </w:p>
        <w:p>
          <w:pPr>
            <w:pStyle w:val="Contents1"/>
            <w:tabs>
              <w:tab w:val="clear" w:pos="12960"/>
              <w:tab w:val="right" w:pos="9360" w:leader="dot"/>
            </w:tabs>
            <w:rPr/>
          </w:pPr>
          <w:hyperlink w:anchor="__RefHeading___Toc759_3032948006">
            <w:r>
              <w:rPr>
                <w:rStyle w:val="IndexLink"/>
              </w:rPr>
              <w:t>Litigation Issues Which Directly Impact Current Operations</w:t>
              <w:tab/>
              <w:t>23</w:t>
            </w:r>
          </w:hyperlink>
        </w:p>
        <w:p>
          <w:pPr>
            <w:pStyle w:val="Contents2"/>
            <w:tabs>
              <w:tab w:val="clear" w:pos="12677"/>
              <w:tab w:val="right" w:pos="9360" w:leader="dot"/>
            </w:tabs>
            <w:rPr/>
          </w:pPr>
          <w:hyperlink w:anchor="__RefHeading___Toc5667_4147804815">
            <w:r>
              <w:rPr>
                <w:rStyle w:val="IndexLink"/>
              </w:rPr>
              <w:t>Section 603</w:t>
              <w:tab/>
              <w:t>23</w:t>
            </w:r>
          </w:hyperlink>
        </w:p>
        <w:p>
          <w:pPr>
            <w:pStyle w:val="Contents2"/>
            <w:tabs>
              <w:tab w:val="clear" w:pos="12677"/>
              <w:tab w:val="right" w:pos="9360" w:leader="dot"/>
            </w:tabs>
            <w:rPr/>
          </w:pPr>
          <w:hyperlink w:anchor="__RefHeading___Toc761_3032948006">
            <w:r>
              <w:rPr>
                <w:rStyle w:val="IndexLink"/>
              </w:rPr>
              <w:t>Article III(c) Interpretation</w:t>
              <w:tab/>
              <w:t>26</w:t>
            </w:r>
          </w:hyperlink>
        </w:p>
        <w:p>
          <w:pPr>
            <w:pStyle w:val="Contents3"/>
            <w:tabs>
              <w:tab w:val="clear" w:pos="8793"/>
              <w:tab w:val="right" w:pos="9360" w:leader="dot"/>
            </w:tabs>
            <w:rPr/>
          </w:pPr>
          <w:hyperlink w:anchor="__RefHeading___Toc763_3032948006">
            <w:r>
              <w:rPr>
                <w:rStyle w:val="IndexLink"/>
              </w:rPr>
              <w:t>Background – This is Complicated, Sorry</w:t>
              <w:tab/>
              <w:t>26</w:t>
            </w:r>
          </w:hyperlink>
        </w:p>
        <w:p>
          <w:pPr>
            <w:pStyle w:val="Contents3"/>
            <w:tabs>
              <w:tab w:val="clear" w:pos="8793"/>
              <w:tab w:val="right" w:pos="9360" w:leader="dot"/>
            </w:tabs>
            <w:rPr/>
          </w:pPr>
          <w:hyperlink w:anchor="__RefHeading___Toc765_3032948006">
            <w:r>
              <w:rPr>
                <w:rStyle w:val="IndexLink"/>
              </w:rPr>
              <w:t>Scenario 1 - Status Quo, 2007 Interim Guidelines</w:t>
              <w:tab/>
              <w:t>30</w:t>
            </w:r>
          </w:hyperlink>
        </w:p>
        <w:p>
          <w:pPr>
            <w:pStyle w:val="Contents3"/>
            <w:tabs>
              <w:tab w:val="clear" w:pos="8793"/>
              <w:tab w:val="right" w:pos="9360" w:leader="dot"/>
            </w:tabs>
            <w:rPr/>
          </w:pPr>
          <w:hyperlink w:anchor="__RefHeading___Toc769_3032948006">
            <w:r>
              <w:rPr>
                <w:rStyle w:val="IndexLink"/>
              </w:rPr>
              <w:t>Scenario 2 – Beneficial Consumptive Use Based</w:t>
              <w:tab/>
              <w:t>31</w:t>
            </w:r>
          </w:hyperlink>
        </w:p>
        <w:p>
          <w:pPr>
            <w:pStyle w:val="Contents3"/>
            <w:tabs>
              <w:tab w:val="clear" w:pos="8793"/>
              <w:tab w:val="right" w:pos="9360" w:leader="dot"/>
            </w:tabs>
            <w:rPr/>
          </w:pPr>
          <w:hyperlink w:anchor="__RefHeading___Toc771_3032948006">
            <w:r>
              <w:rPr>
                <w:rStyle w:val="IndexLink"/>
              </w:rPr>
              <w:t>Scenario 3 – Supply Based</w:t>
              <w:tab/>
              <w:t>33</w:t>
            </w:r>
          </w:hyperlink>
        </w:p>
        <w:p>
          <w:pPr>
            <w:pStyle w:val="Contents2"/>
            <w:tabs>
              <w:tab w:val="clear" w:pos="12677"/>
              <w:tab w:val="right" w:pos="9360" w:leader="dot"/>
            </w:tabs>
            <w:rPr/>
          </w:pPr>
          <w:hyperlink w:anchor="__RefHeading___Toc773_3032948006">
            <w:r>
              <w:rPr>
                <w:rStyle w:val="IndexLink"/>
              </w:rPr>
              <w:t>Article III(e) Interpretation</w:t>
              <w:tab/>
              <w:t>35</w:t>
            </w:r>
          </w:hyperlink>
        </w:p>
        <w:p>
          <w:pPr>
            <w:pStyle w:val="Contents3"/>
            <w:tabs>
              <w:tab w:val="clear" w:pos="8793"/>
              <w:tab w:val="right" w:pos="9360" w:leader="dot"/>
            </w:tabs>
            <w:rPr/>
          </w:pPr>
          <w:hyperlink w:anchor="__RefHeading___Toc5795_4147804815">
            <w:r>
              <w:rPr>
                <w:rStyle w:val="IndexLink"/>
              </w:rPr>
              <w:t xml:space="preserve"> </w:t>
            </w:r>
            <w:r>
              <w:rPr>
                <w:rStyle w:val="IndexLink"/>
              </w:rPr>
              <w:t>Lower Basin Aquifer Storage Summary</w:t>
              <w:tab/>
              <w:t>39</w:t>
            </w:r>
          </w:hyperlink>
        </w:p>
        <w:p>
          <w:pPr>
            <w:pStyle w:val="Contents2"/>
            <w:tabs>
              <w:tab w:val="clear" w:pos="12677"/>
              <w:tab w:val="right" w:pos="9360" w:leader="dot"/>
            </w:tabs>
            <w:rPr/>
          </w:pPr>
          <w:hyperlink w:anchor="__RefHeading___Toc5831_4147804815">
            <w:r>
              <w:rPr>
                <w:rStyle w:val="IndexLink"/>
              </w:rPr>
              <w:t>Canonical Legal Arguments Related to Operational Questions</w:t>
              <w:tab/>
              <w:t>39</w:t>
            </w:r>
          </w:hyperlink>
        </w:p>
        <w:p>
          <w:pPr>
            <w:pStyle w:val="Contents3"/>
            <w:tabs>
              <w:tab w:val="clear" w:pos="8793"/>
              <w:tab w:val="right" w:pos="9360" w:leader="dot"/>
            </w:tabs>
            <w:rPr/>
          </w:pPr>
          <w:hyperlink w:anchor="__RefHeading___Toc6516_4147804815">
            <w:r>
              <w:rPr>
                <w:rStyle w:val="IndexLink"/>
              </w:rPr>
              <w:t>Article III(d)</w:t>
              <w:tab/>
              <w:t>39</w:t>
            </w:r>
          </w:hyperlink>
        </w:p>
        <w:p>
          <w:pPr>
            <w:pStyle w:val="Contents3"/>
            <w:tabs>
              <w:tab w:val="clear" w:pos="8793"/>
              <w:tab w:val="right" w:pos="9360" w:leader="dot"/>
            </w:tabs>
            <w:rPr/>
          </w:pPr>
          <w:hyperlink w:anchor="__RefHeading___Toc5773_4147804815">
            <w:r>
              <w:rPr>
                <w:rStyle w:val="IndexLink"/>
              </w:rPr>
              <w:t>Article III(b)</w:t>
              <w:tab/>
              <w:t>41</w:t>
            </w:r>
          </w:hyperlink>
        </w:p>
        <w:p>
          <w:pPr>
            <w:pStyle w:val="Contents3"/>
            <w:tabs>
              <w:tab w:val="clear" w:pos="8793"/>
              <w:tab w:val="right" w:pos="9360" w:leader="dot"/>
            </w:tabs>
            <w:rPr/>
          </w:pPr>
          <w:hyperlink w:anchor="__RefHeading___Toc2842_3032948006">
            <w:r>
              <w:rPr>
                <w:rStyle w:val="IndexLink"/>
              </w:rPr>
              <w:t>Gila River</w:t>
              <w:tab/>
              <w:t>42</w:t>
            </w:r>
          </w:hyperlink>
          <w:r>
            <w:rPr>
              <w:rStyle w:val="IndexLink"/>
            </w:rPr>
            <w:fldChar w:fldCharType="end"/>
          </w:r>
        </w:p>
      </w:sdtContent>
    </w:sdt>
    <w:p>
      <w:pPr>
        <w:pStyle w:val="Heading1"/>
        <w:rPr/>
      </w:pPr>
      <w:r>
        <w:rPr/>
      </w:r>
      <w:r>
        <w:br w:type="page"/>
      </w:r>
    </w:p>
    <w:p>
      <w:pPr>
        <w:pStyle w:val="Heading1"/>
        <w:spacing w:before="480" w:after="0"/>
        <w:rPr>
          <w:rFonts w:ascii="Liberation Sans" w:hAnsi="Liberation Sans"/>
        </w:rPr>
      </w:pPr>
      <w:r>
        <w:rPr>
          <w:rFonts w:ascii="Liberation Sans" w:hAnsi="Liberation Sans"/>
        </w:rPr>
      </w:r>
    </w:p>
    <w:p>
      <w:pPr>
        <w:pStyle w:val="Heading2"/>
        <w:rPr/>
      </w:pPr>
      <w:bookmarkStart w:id="0" w:name="__RefHeading___Toc5665_4147804815"/>
      <w:bookmarkEnd w:id="0"/>
      <w:r>
        <w:rPr/>
        <w:t>The Salton Sea Problem</w:t>
      </w:r>
    </w:p>
    <w:p>
      <w:pPr>
        <w:pStyle w:val="TextBody"/>
        <w:spacing w:before="0" w:after="0"/>
        <w:rPr>
          <w:rFonts w:ascii="Liberation Sans" w:hAnsi="Liberation Sans"/>
        </w:rPr>
      </w:pPr>
      <w:r>
        <w:rPr>
          <w:rFonts w:ascii="Liberation Sans" w:hAnsi="Liberation Sans"/>
          <w:color w:val="313131"/>
        </w:rPr>
        <w:t xml:space="preserve">In 1904 the Salton trough was a dry lake more than 200 ft below sea level.  </w:t>
      </w:r>
      <w:r>
        <w:rPr>
          <w:rFonts w:ascii="Liberation Sans" w:hAnsi="Liberation Sans"/>
          <w:color w:val="313131"/>
          <w:shd w:fill="auto" w:val="clear"/>
        </w:rPr>
        <w:t>In spring 1905, an engineering mishap led to a major breach of the River's bank that wasn’t closed until February 1907.  The breach filled the Salton Sea with 15 MAF of water.</w:t>
      </w:r>
    </w:p>
    <w:p>
      <w:pPr>
        <w:pStyle w:val="TextBody"/>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The Sea may now be evaporating 1.3 MAF of Colorado River water a year, we are working to find this data. That’s as much as Lake Mead and Lake Powell combined, this is not sustainable with today’s Colorado River.  It’s math.</w:t>
      </w:r>
    </w:p>
    <w:p>
      <w:pPr>
        <w:pStyle w:val="Normal"/>
        <w:spacing w:before="0" w:after="0"/>
        <w:rPr>
          <w:rFonts w:ascii="Liberation Sans" w:hAnsi="Liberation Sans"/>
        </w:rPr>
      </w:pPr>
      <w:r>
        <w:rPr>
          <w:rFonts w:ascii="Liberation Sans" w:hAnsi="Liberation Sans"/>
        </w:rPr>
      </w:r>
    </w:p>
    <w:p>
      <w:pPr>
        <w:pStyle w:val="TextBody"/>
        <w:spacing w:before="0" w:after="0"/>
        <w:rPr>
          <w:rFonts w:ascii="Liberation Sans" w:hAnsi="Liberation Sans"/>
        </w:rPr>
      </w:pPr>
      <w:r>
        <w:rPr>
          <w:rFonts w:ascii="Liberation Sans" w:hAnsi="Liberation Sans"/>
          <w:color w:val="313131"/>
        </w:rPr>
        <w:t>Waste water, mostly from Imperial Irrigation District and Coachella sustained the sea until recently.  Its an IV in the arm of a sick patient. The 2018 DCP and Demand Management have broken this equilibrium .  Now about 1 MAF of waste water from IID, Coachella and Mexico enter the sea so there is a 300,000 AF deficit every year.  It is shrinking and as it shrinks salinity increases.</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Irrigation waste water may put 5 unit trains of salt into the sea each week.  The sea has no outlet so it will never leave.</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 xml:space="preserve">We think the Sea is a dead man walking.  It will inevitably go hyper saline and die on the current trajectory.  Jenny Ross is a top scientist on the Sea.  These are her </w:t>
      </w:r>
      <w:hyperlink r:id="rId3">
        <w:r>
          <w:rPr>
            <w:rStyle w:val="InternetLink"/>
            <w:rFonts w:ascii="Liberation Sans" w:hAnsi="Liberation Sans"/>
            <w:color w:val="313131"/>
          </w:rPr>
          <w:t>EIS comments</w:t>
        </w:r>
      </w:hyperlink>
      <w:r>
        <w:rPr>
          <w:rFonts w:ascii="Liberation Sans" w:hAnsi="Liberation Sans"/>
          <w:color w:val="313131"/>
        </w:rPr>
        <w:t xml:space="preserve"> in first round.  She seems to affirm the Sea is dying and wants to save it, we wish here well.</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Bur, we all face a difficult choice that must be made immediately:</w:t>
      </w:r>
    </w:p>
    <w:p>
      <w:pPr>
        <w:pStyle w:val="Normal"/>
        <w:spacing w:before="0" w:after="0"/>
        <w:rPr>
          <w:rFonts w:ascii="Liberation Sans" w:hAnsi="Liberation Sans"/>
        </w:rPr>
      </w:pPr>
      <w:r>
        <w:rPr>
          <w:rFonts w:ascii="Liberation Sans" w:hAnsi="Liberation Sans"/>
        </w:rPr>
      </w:r>
    </w:p>
    <w:p>
      <w:pPr>
        <w:pStyle w:val="Normal"/>
        <w:numPr>
          <w:ilvl w:val="0"/>
          <w:numId w:val="2"/>
        </w:numPr>
        <w:spacing w:before="0" w:after="0"/>
        <w:rPr/>
      </w:pPr>
      <w:r>
        <w:rPr/>
        <w:t>California and the U.S. must embark on a very expensive and extremely difficult project to save the Sea in an artificial way by importing ocean water into the sea, most probably with additional expensive measures to balance salinity.  A Sea to Sea pipeline from the Gulf of California is the leading but not only possibility. This must be done quickly and affordably which is a near impossibility with Mexico and California.</w:t>
      </w:r>
    </w:p>
    <w:p>
      <w:pPr>
        <w:pStyle w:val="Normal"/>
        <w:numPr>
          <w:ilvl w:val="0"/>
          <w:numId w:val="0"/>
        </w:numPr>
        <w:spacing w:before="0" w:after="0"/>
        <w:ind w:left="227" w:hanging="0"/>
        <w:rPr/>
      </w:pPr>
      <w:r>
        <w:rPr/>
      </w:r>
    </w:p>
    <w:p>
      <w:pPr>
        <w:pStyle w:val="Normal"/>
        <w:numPr>
          <w:ilvl w:val="0"/>
          <w:numId w:val="2"/>
        </w:numPr>
        <w:spacing w:before="0" w:after="0"/>
        <w:rPr/>
      </w:pPr>
      <w:r>
        <w:rPr/>
        <w:t>We let the Sea follow its natural cycle and die.  The sea needs to return to either a dry lake bed or a much smaller sea where inflows and evaporation are in balance.  Salinity would still be a continuing problem in the latter.  Dust will be a major problem and must be mitigated. A dry lake bed is natural so it must be possible, but out of scope here. If Jenny and others can design a smaller, sustainable ecosystem, a new Garden of Eden, that would be ideal under Foundational Principles.</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 xml:space="preserve">It is not our place to influence this choice.  But... to bring the River back into balance the math has to work, a Foundational Principal.  To make the math work the River can no longer waste water into the Sea.  There is an old saying, “You rob banks because that’s where the money is”.  In this case we look to Imperial Valley only because that is where the water is.  In much of the rest of the basin, not all, return flows return to the River for reuse.  In Imperial 1 MAF of return flows are being lost because it is a trans basin diversion.  </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We do not want to “rob” this bank.  Imperial agriculture is a precious national resource.  We not only want to preserve it but make it better, its a Foundational Principal.</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The objective is to recover this:</w:t>
      </w:r>
    </w:p>
    <w:p>
      <w:pPr>
        <w:pStyle w:val="Normal"/>
        <w:spacing w:before="0" w:after="0"/>
        <w:rPr>
          <w:rFonts w:ascii="Liberation Sans" w:hAnsi="Liberation Sans"/>
        </w:rPr>
      </w:pPr>
      <w:r>
        <w:rPr>
          <w:rFonts w:ascii="Liberation Sans" w:hAnsi="Liberation Sans"/>
        </w:rPr>
      </w:r>
    </w:p>
    <w:p>
      <w:pPr>
        <w:pStyle w:val="Normal"/>
        <w:numPr>
          <w:ilvl w:val="0"/>
          <w:numId w:val="2"/>
        </w:numPr>
        <w:spacing w:before="0" w:after="0"/>
        <w:rPr/>
      </w:pPr>
      <w:r>
        <w:rPr/>
        <w:t xml:space="preserve">Tail water is water flowing off the surface of the fields, it is nearly the same as  Colorado River water </w:t>
      </w:r>
    </w:p>
    <w:p>
      <w:pPr>
        <w:pStyle w:val="Normal"/>
        <w:numPr>
          <w:ilvl w:val="0"/>
          <w:numId w:val="2"/>
        </w:numPr>
        <w:spacing w:before="0" w:after="0"/>
        <w:rPr/>
      </w:pPr>
      <w:r>
        <w:rPr/>
        <w:t>Tile water is very saline which flows through the soil and comes out underneath</w:t>
      </w:r>
    </w:p>
    <w:p>
      <w:pPr>
        <w:pStyle w:val="Normal"/>
        <w:spacing w:before="0" w:after="0"/>
        <w:rPr/>
      </w:pPr>
      <w:r>
        <w:rPr/>
      </w:r>
    </w:p>
    <w:p>
      <w:pPr>
        <w:pStyle w:val="Normal"/>
        <w:spacing w:before="0" w:after="0"/>
        <w:rPr/>
      </w:pPr>
      <w:r>
        <w:rPr/>
        <w:t>These are some ways to recover this tail water through improved farming practices which have been done in Mexico and Yuma:</w:t>
      </w:r>
    </w:p>
    <w:p>
      <w:pPr>
        <w:pStyle w:val="Normal"/>
        <w:numPr>
          <w:ilvl w:val="0"/>
          <w:numId w:val="0"/>
        </w:numPr>
        <w:spacing w:before="0" w:after="0"/>
        <w:ind w:left="227" w:hanging="0"/>
        <w:rPr/>
      </w:pPr>
      <w:r>
        <w:rPr/>
      </w:r>
    </w:p>
    <w:p>
      <w:pPr>
        <w:pStyle w:val="Normal"/>
        <w:numPr>
          <w:ilvl w:val="0"/>
          <w:numId w:val="2"/>
        </w:numPr>
        <w:spacing w:before="0" w:after="0"/>
        <w:rPr/>
      </w:pPr>
      <w:r>
        <w:rPr/>
        <w:t>Irrigation tape, which requires money and pressure which can be challenging</w:t>
      </w:r>
    </w:p>
    <w:p>
      <w:pPr>
        <w:pStyle w:val="Normal"/>
        <w:numPr>
          <w:ilvl w:val="0"/>
          <w:numId w:val="2"/>
        </w:numPr>
        <w:spacing w:before="0" w:after="0"/>
        <w:rPr/>
      </w:pPr>
      <w:r>
        <w:rPr/>
        <w:t>Pressure requires pumps with an extensive electrical system, or piping water if there is sufficient drop.  Pumps are a continuing expense, pressurized pCenter ipe are a big up front expense</w:t>
      </w:r>
    </w:p>
    <w:p>
      <w:pPr>
        <w:pStyle w:val="Normal"/>
        <w:numPr>
          <w:ilvl w:val="0"/>
          <w:numId w:val="2"/>
        </w:numPr>
        <w:spacing w:before="0" w:after="0"/>
        <w:rPr/>
      </w:pPr>
      <w:r>
        <w:rPr/>
        <w:t>Laser leveling of fields requires money and skilled irrigators or someone needs to devise an automated way to time flood irrigation.</w:t>
      </w:r>
    </w:p>
    <w:p>
      <w:pPr>
        <w:pStyle w:val="Normal"/>
        <w:spacing w:before="0" w:after="0"/>
        <w:rPr/>
      </w:pPr>
      <w:r>
        <w:rPr/>
      </w:r>
    </w:p>
    <w:p>
      <w:pPr>
        <w:pStyle w:val="Normal"/>
        <w:spacing w:before="0" w:after="0"/>
        <w:rPr/>
      </w:pPr>
      <w:r>
        <w:rPr/>
        <w:t>I’m told, but have not verified, that efficiency improvements like this are being blocked by NEPA because they would further reduce flows into the Sea accelerating its demise.  If so, I’m not sure it is, it is contrary to a Foundational Principal.</w:t>
      </w:r>
    </w:p>
    <w:p>
      <w:pPr>
        <w:pStyle w:val="Normal"/>
        <w:spacing w:before="0" w:after="0"/>
        <w:rPr/>
      </w:pPr>
      <w:r>
        <w:rPr/>
      </w:r>
    </w:p>
    <w:p>
      <w:pPr>
        <w:pStyle w:val="Normal"/>
        <w:spacing w:before="0" w:after="0"/>
        <w:rPr/>
      </w:pPr>
      <w:r>
        <w:rPr/>
        <w:t>A key goal, a Foundational Principle, is to use efficiency improvements to decrease the need to fallow IID, and waste money on this flawed practice.  Hopefully these difficult tasks can better equip IID for the new, challenging, shortage dominated world.</w:t>
      </w:r>
    </w:p>
    <w:p>
      <w:pPr>
        <w:pStyle w:val="Normal"/>
        <w:spacing w:before="0" w:after="0"/>
        <w:rPr/>
      </w:pPr>
      <w:r>
        <w:rPr/>
      </w:r>
    </w:p>
    <w:p>
      <w:pPr>
        <w:pStyle w:val="Normal"/>
        <w:spacing w:before="0" w:after="0"/>
        <w:rPr/>
      </w:pPr>
      <w:r>
        <w:rPr/>
        <w:t>Environmentalists will obviously and rightly be devastated be the loss of habitat from letting the Sea die.  It is a foundational principal to preserve viable ecosystems but not use NEPA to save marginal or dying ones.</w:t>
      </w:r>
    </w:p>
    <w:p>
      <w:pPr>
        <w:pStyle w:val="Normal"/>
        <w:spacing w:before="0" w:after="0"/>
        <w:rPr/>
      </w:pPr>
      <w:r>
        <w:rPr/>
      </w:r>
    </w:p>
    <w:p>
      <w:pPr>
        <w:pStyle w:val="Normal"/>
        <w:spacing w:before="0" w:after="0"/>
        <w:rPr>
          <w:b w:val="false"/>
          <w:b w:val="false"/>
          <w:bCs w:val="false"/>
        </w:rPr>
      </w:pPr>
      <w:r>
        <w:rPr>
          <w:b w:val="false"/>
          <w:bCs w:val="false"/>
        </w:rPr>
        <w:t xml:space="preserve">To offset their loss, and align with Foundational Principal,  </w:t>
      </w:r>
      <w:r>
        <w:rPr>
          <w:rFonts w:ascii="Liberation Sans" w:hAnsi="Liberation Sans"/>
          <w:b w:val="false"/>
          <w:bCs w:val="false"/>
          <w:color w:val="313131"/>
        </w:rPr>
        <w:t>We propose redirecting 100,000 AF or more of the saved tile water to the now dry Colorado River Delta.  The Delta c</w:t>
      </w:r>
      <w:r>
        <w:rPr>
          <w:rFonts w:ascii="Liberation Sans" w:hAnsi="Liberation Sans"/>
          <w:b/>
          <w:bCs/>
          <w:color w:val="313131"/>
        </w:rPr>
        <w:t>ould bloom like Cienega is blooming, home for birds and fish</w:t>
      </w:r>
      <w:r>
        <w:rPr>
          <w:rFonts w:ascii="Liberation Sans" w:hAnsi="Liberation Sans"/>
          <w:b w:val="false"/>
          <w:bCs w:val="false"/>
          <w:color w:val="313131"/>
        </w:rPr>
        <w:t xml:space="preserve">. It is a worthy goal to finally fix the righteous demands for more water from Audubon. </w:t>
      </w:r>
      <w:r>
        <w:rPr>
          <w:rFonts w:ascii="Liberation Sans" w:hAnsi="Liberation Sans"/>
          <w:b/>
          <w:bCs/>
          <w:color w:val="313131"/>
        </w:rPr>
        <w:t>Abandon a doomed ecosystem and save a viable one</w:t>
      </w:r>
      <w:r>
        <w:rPr>
          <w:rFonts w:ascii="Liberation Sans" w:hAnsi="Liberation Sans"/>
          <w:b w:val="false"/>
          <w:bCs w:val="false"/>
          <w:color w:val="313131"/>
        </w:rPr>
        <w:t xml:space="preserve">.  </w:t>
      </w:r>
    </w:p>
    <w:p>
      <w:pPr>
        <w:pStyle w:val="Normal"/>
        <w:spacing w:before="0" w:after="0"/>
        <w:rPr>
          <w:rFonts w:ascii="Liberation Sans" w:hAnsi="Liberation Sans"/>
          <w:b/>
          <w:b/>
          <w:bCs/>
          <w:color w:val="313131"/>
        </w:rPr>
      </w:pPr>
      <w:r>
        <w:rPr/>
      </w:r>
    </w:p>
    <w:p>
      <w:pPr>
        <w:pStyle w:val="Normal"/>
        <w:spacing w:before="0" w:after="0"/>
        <w:rPr/>
      </w:pPr>
      <w:r>
        <w:rPr>
          <w:rFonts w:ascii="Liberation Sans" w:hAnsi="Liberation Sans"/>
          <w:b w:val="false"/>
          <w:bCs w:val="false"/>
          <w:color w:val="313131"/>
        </w:rPr>
        <w:t>The Delta has an outlet to dispose of IID’s salt which is key here, it is sustainable where the Sea is not.</w:t>
      </w:r>
    </w:p>
    <w:p>
      <w:pPr>
        <w:pStyle w:val="Normal"/>
        <w:spacing w:before="0" w:after="0"/>
        <w:rPr>
          <w:rFonts w:ascii="Liberation Sans" w:hAnsi="Liberation Sans"/>
        </w:rPr>
      </w:pPr>
      <w:r>
        <w:rPr>
          <w:rFonts w:ascii="Liberation Sans" w:hAnsi="Liberation Sans"/>
        </w:rPr>
      </w:r>
    </w:p>
    <w:p>
      <w:pPr>
        <w:pStyle w:val="Normal"/>
        <w:spacing w:before="0" w:after="0"/>
        <w:rPr/>
      </w:pPr>
      <w:r>
        <w:rPr>
          <w:b w:val="false"/>
          <w:bCs w:val="false"/>
        </w:rPr>
        <w:t>This would require at least 80 miles of HDPE pipe and a 200’ lift of the water so substantial pumps and electricity. Expensive, and not easy but possible.  IID generates a lot of power so would be ideal for this.  Funding pumping costs is an issue.</w:t>
      </w:r>
    </w:p>
    <w:p>
      <w:pPr>
        <w:pStyle w:val="Heading2"/>
        <w:rPr/>
      </w:pPr>
      <w:r>
        <w:rPr/>
        <w:t>IID Drain Monitoring</w:t>
      </w:r>
    </w:p>
    <w:p>
      <w:pPr>
        <w:pStyle w:val="Normal"/>
        <w:numPr>
          <w:ilvl w:val="1"/>
          <w:numId w:val="1"/>
        </w:numPr>
        <w:spacing w:before="0" w:after="0"/>
        <w:rPr/>
      </w:pPr>
      <w:hyperlink r:id="rId4">
        <w:r>
          <w:rPr>
            <w:rStyle w:val="InternetLink"/>
            <w:b w:val="false"/>
            <w:bCs w:val="false"/>
          </w:rPr>
          <w:t>Spatial datasets for IID canals, drains, and reservoirs (shapefiles for mapping drainage/tailwater paths)</w:t>
        </w:r>
      </w:hyperlink>
    </w:p>
    <w:p>
      <w:pPr>
        <w:pStyle w:val="Normal"/>
        <w:numPr>
          <w:ilvl w:val="1"/>
          <w:numId w:val="1"/>
        </w:numPr>
        <w:spacing w:before="0" w:after="0"/>
        <w:rPr/>
      </w:pPr>
      <w:hyperlink r:id="rId5">
        <w:r>
          <w:rPr>
            <w:rStyle w:val="InternetLink"/>
            <w:rFonts w:ascii="Liberation Sans" w:hAnsi="Liberation Sans"/>
            <w:b/>
            <w:bCs/>
            <w:color w:val="313131"/>
          </w:rPr>
          <w:t>IID - CALIFORNIA REGIONAL WATER QUALITY CONTROL BOARD</w:t>
        </w:r>
      </w:hyperlink>
    </w:p>
    <w:p>
      <w:pPr>
        <w:pStyle w:val="Normal"/>
        <w:numPr>
          <w:ilvl w:val="1"/>
          <w:numId w:val="1"/>
        </w:numPr>
        <w:rPr/>
      </w:pPr>
      <w:r>
        <w:rPr>
          <w:rStyle w:val="InternetLink"/>
        </w:rPr>
        <w:t>https://www.iid.com/water/water-transportation-system/drainage</w:t>
      </w:r>
    </w:p>
    <w:p>
      <w:pPr>
        <w:pStyle w:val="Normal"/>
        <w:numPr>
          <w:ilvl w:val="1"/>
          <w:numId w:val="1"/>
        </w:numPr>
        <w:rPr/>
      </w:pPr>
      <w:hyperlink r:id="rId6">
        <w:r>
          <w:rPr>
            <w:rStyle w:val="InternetLink"/>
          </w:rPr>
          <w:t>Salton Sea Hydrological Modeling</w:t>
        </w:r>
      </w:hyperlink>
    </w:p>
    <w:p>
      <w:pPr>
        <w:pStyle w:val="Heading2"/>
        <w:numPr>
          <w:ilvl w:val="1"/>
          <w:numId w:val="1"/>
        </w:numPr>
        <w:rPr/>
      </w:pPr>
      <w:hyperlink r:id="rId7">
        <w:r>
          <w:rPr>
            <w:rStyle w:val="InternetLink"/>
          </w:rPr>
          <w:t>Imperial Irrigation District Drain Water Quality Improvement Plan</w:t>
        </w:r>
      </w:hyperlink>
    </w:p>
    <w:p>
      <w:pPr>
        <w:pStyle w:val="Normal"/>
        <w:numPr>
          <w:ilvl w:val="1"/>
          <w:numId w:val="1"/>
        </w:numPr>
        <w:rPr/>
      </w:pPr>
      <w:r>
        <w:rPr/>
        <w:t>https://www.iid.com/home/showpublisheddocument/17299/636763993652100000</w:t>
      </w:r>
    </w:p>
    <w:p>
      <w:pPr>
        <w:pStyle w:val="Normal"/>
        <w:numPr>
          <w:ilvl w:val="1"/>
          <w:numId w:val="1"/>
        </w:numPr>
        <w:rPr/>
      </w:pPr>
      <w:hyperlink r:id="rId8">
        <w:r>
          <w:rPr>
            <w:rStyle w:val="InternetLink"/>
          </w:rPr>
          <w:t>DWQIP Report Monitoring Sites</w:t>
        </w:r>
      </w:hyperlink>
    </w:p>
    <w:p>
      <w:pPr>
        <w:pStyle w:val="Normal"/>
        <w:numPr>
          <w:ilvl w:val="1"/>
          <w:numId w:val="1"/>
        </w:numPr>
        <w:rPr/>
      </w:pPr>
      <w:hyperlink r:id="rId9">
        <w:r>
          <w:rPr>
            <w:rStyle w:val="InternetLink"/>
          </w:rPr>
          <w:t>IID Title 22 Reports</w:t>
        </w:r>
      </w:hyperlink>
      <w:r>
        <w:rPr/>
        <w:t xml:space="preserve"> (Pollution)</w:t>
      </w:r>
    </w:p>
    <w:p>
      <w:pPr>
        <w:pStyle w:val="Normal"/>
        <w:numPr>
          <w:ilvl w:val="1"/>
          <w:numId w:val="1"/>
        </w:numPr>
        <w:spacing w:before="0" w:after="0"/>
        <w:rPr/>
      </w:pPr>
      <w:hyperlink r:id="rId10">
        <w:r>
          <w:rPr>
            <w:rStyle w:val="InternetLink"/>
            <w:rFonts w:ascii="Liberation Sans" w:hAnsi="Liberation Sans"/>
            <w:b/>
            <w:bCs/>
            <w:color w:val="313131"/>
          </w:rPr>
          <w:t>Water Resources of Lower Colorado River Salton Sea Area as of 1971 Summary Report</w:t>
        </w:r>
      </w:hyperlink>
    </w:p>
    <w:p>
      <w:pPr>
        <w:pStyle w:val="Normal"/>
        <w:numPr>
          <w:ilvl w:val="1"/>
          <w:numId w:val="1"/>
        </w:numPr>
        <w:spacing w:before="0" w:after="0"/>
        <w:rPr/>
      </w:pPr>
      <w:hyperlink r:id="rId11">
        <w:r>
          <w:rPr>
            <w:rStyle w:val="InternetLink"/>
            <w:rFonts w:ascii="Liberation Sans" w:hAnsi="Liberation Sans"/>
            <w:b w:val="false"/>
            <w:bCs w:val="false"/>
            <w:color w:val="313131"/>
          </w:rPr>
          <w:t>Salinity of Surface Water in The Lower Colorado River Salton Sea Area</w:t>
        </w:r>
      </w:hyperlink>
    </w:p>
    <w:p>
      <w:pPr>
        <w:pStyle w:val="Normal"/>
        <w:numPr>
          <w:ilvl w:val="1"/>
          <w:numId w:val="1"/>
        </w:numPr>
        <w:spacing w:before="0" w:after="0"/>
        <w:rPr/>
      </w:pPr>
      <w:hyperlink r:id="rId12" w:tgtFrame="_blank">
        <w:r>
          <w:rPr>
            <w:rStyle w:val="InternetLink"/>
            <w:rFonts w:ascii="sans-serif" w:hAnsi="sans-serif"/>
            <w:b w:val="false"/>
            <w:bCs w:val="false"/>
            <w:color w:val="000000"/>
            <w:shd w:fill="auto" w:val="clear"/>
          </w:rPr>
          <w:t>https://pacinst.org/publication/past-and-future-of-the-salton-sea/</w:t>
        </w:r>
      </w:hyperlink>
    </w:p>
    <w:p>
      <w:pPr>
        <w:pStyle w:val="Normal"/>
        <w:numPr>
          <w:ilvl w:val="1"/>
          <w:numId w:val="1"/>
        </w:numPr>
        <w:spacing w:before="0" w:after="0"/>
        <w:rPr/>
      </w:pPr>
      <w:hyperlink r:id="rId14">
        <w:r>
          <w:rPr>
            <w:rStyle w:val="InternetLink"/>
            <w:rFonts w:ascii="Liberation Sans" w:hAnsi="Liberation Sans"/>
            <w:b w:val="false"/>
            <w:bCs w:val="false"/>
            <w:color w:val="313131"/>
          </w:rPr>
          <w:t>https://www.ppic.org/blog/the-troubled-history-and-uncertain-future-of-the-salton-sea/</w:t>
        </w:r>
      </w:hyperlink>
    </w:p>
    <w:p>
      <w:pPr>
        <w:pStyle w:val="Normal"/>
        <w:numPr>
          <w:ilvl w:val="1"/>
          <w:numId w:val="1"/>
        </w:numPr>
        <w:spacing w:before="0" w:after="0"/>
        <w:rPr>
          <w:rFonts w:ascii="Liberation Sans" w:hAnsi="Liberation Sans"/>
          <w:b w:val="false"/>
          <w:b w:val="false"/>
          <w:bCs w:val="false"/>
          <w:color w:val="313131"/>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14925" cy="69081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5"/>
                    <a:stretch>
                      <a:fillRect/>
                    </a:stretch>
                  </pic:blipFill>
                  <pic:spPr bwMode="auto">
                    <a:xfrm>
                      <a:off x="0" y="0"/>
                      <a:ext cx="5114925" cy="6908165"/>
                    </a:xfrm>
                    <a:prstGeom prst="rect">
                      <a:avLst/>
                    </a:prstGeom>
                  </pic:spPr>
                </pic:pic>
              </a:graphicData>
            </a:graphic>
          </wp:anchor>
        </w:drawing>
      </w:r>
    </w:p>
    <w:p>
      <w:pPr>
        <w:pStyle w:val="Heading2"/>
        <w:rPr/>
      </w:pPr>
      <w:r>
        <w:rPr/>
      </w:r>
    </w:p>
    <w:p>
      <w:pPr>
        <w:pStyle w:val="Heading2"/>
        <w:rPr/>
      </w:pPr>
      <w:r>
        <w:rPr/>
        <w:t>Arizona v California and Imperial Waste Water</w:t>
      </w:r>
    </w:p>
    <w:p>
      <w:pPr>
        <w:pStyle w:val="Normal"/>
        <w:ind w:left="720" w:hanging="0"/>
        <w:rPr/>
      </w:pPr>
      <w:r>
        <w:rPr>
          <w:i/>
          <w:iCs/>
        </w:rPr>
        <w:t>To meet the claims of Imperial Irrigation District that the water wasted into the Salton Sea was, in fact, drain water from her underground farm drain system required to leach out the salts from the soil, Arizona had carried on a sampling procedure over a long period of time through which samples were taken from actual outflows of a representative number of drains and also from the discharge into the Salton Sea.</w:t>
      </w:r>
    </w:p>
    <w:p>
      <w:pPr>
        <w:pStyle w:val="Normal"/>
        <w:ind w:left="720" w:hanging="0"/>
        <w:rPr/>
      </w:pPr>
      <w:r>
        <w:rPr>
          <w:i/>
          <w:iCs/>
        </w:rPr>
        <w:t>Analysis of the drain samples and the Salton Sea inflow disclosed, with reasonable accuracy, .that this inflow into the Salton Sea of in excess of 1,200,000 (average 1951-55 period) feet a year was made up of in excess of 81% surface runoff and less.-than 20% drainage effluent. In fact, this water was of quality comparable to water used for irrigated farming in some areas of Arizona. This testimony was admitted by the Special Master.</w:t>
      </w:r>
    </w:p>
    <w:p>
      <w:pPr>
        <w:pStyle w:val="Normal"/>
        <w:ind w:left="0" w:hanging="0"/>
        <w:rPr/>
      </w:pPr>
      <w:r>
        <w:rPr/>
        <w:t>...</w:t>
      </w:r>
    </w:p>
    <w:p>
      <w:pPr>
        <w:pStyle w:val="Normal"/>
        <w:ind w:left="720" w:hanging="0"/>
        <w:rPr/>
      </w:pPr>
      <w:r>
        <w:rPr/>
        <w:t>Finally Arizona presented tables taken from California's own exhibits that her total requirements per annum for existing projects, including 481,500 acre-feet for Metropolitan Water District, were actually only 3,485,000 acre-feet and that with reasonable conservation practices this figure could be reduced to less than 3,000,000 acre-feet per annum</w:t>
      </w:r>
      <w:r>
        <w:rPr>
          <w:rStyle w:val="EndnoteAnchor"/>
        </w:rPr>
        <w:endnoteReference w:id="2"/>
      </w:r>
    </w:p>
    <w:p>
      <w:pPr>
        <w:pStyle w:val="Normal"/>
        <w:spacing w:before="0" w:after="200"/>
        <w:ind w:left="720" w:hanging="0"/>
        <w:rPr/>
      </w:pPr>
      <w:r>
        <w:rPr/>
        <w:t>". . . a great deal of water has been wasted, as is apparent, for example, from the very large unused runoff each year into the Salton Sea. .. "</w:t>
      </w:r>
      <w:r>
        <w:rPr>
          <w:rStyle w:val="EndnoteAnchor"/>
        </w:rPr>
        <w:endnoteReference w:id="3"/>
      </w:r>
    </w:p>
    <w:sectPr>
      <w:footerReference w:type="default" r:id="rId16"/>
      <w:endnotePr>
        <w:numFmt w:val="decimal"/>
      </w:endnotePr>
      <w:type w:val="nextPage"/>
      <w:pgSz w:w="12240" w:h="15840"/>
      <w:pgMar w:left="1440" w:right="1440" w:gutter="0" w:header="0" w:top="1440" w:footer="1440" w:bottom="1999"/>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
        <w:suppressLineNumbers/>
        <w:spacing w:before="0" w:after="200"/>
        <w:ind w:left="340" w:hanging="340"/>
        <w:rPr/>
      </w:pPr>
      <w:r>
        <w:rPr>
          <w:rStyle w:val="EndnoteCharacters"/>
        </w:rPr>
        <w:endnoteRef/>
      </w:r>
      <w:r>
        <w:rPr/>
        <w:tab/>
        <w:t>Mark Wilmer, “Arizona v. California, A Statutory Construction Case,” Arizona Law Review 6, no. 1 (1964): 57, https://journals.librarypublishing.arizona.edu/arizlrev/article/9713/galley/8847/download/.</w:t>
      </w:r>
    </w:p>
  </w:endnote>
  <w:endnote w:id="3">
    <w:p>
      <w:pPr>
        <w:pStyle w:val="Endnote"/>
        <w:rPr/>
      </w:pPr>
      <w:r>
        <w:rPr>
          <w:rStyle w:val="EndnoteCharacters"/>
        </w:rPr>
        <w:endnoteRef/>
      </w:r>
      <w:r>
        <w:rPr/>
        <w:tab/>
        <w:t>Simon H. Rifkind, Special Master, Report, in Arizona v. California, No. 8, Original (U.S. Supreme Court, December 5, 1960), [page number if specific, e.g., 129], https://scholar.law.colorado.edu/arizona-v-california/16/.</w:t>
      </w:r>
    </w:p>
    <w:p>
      <w:pPr>
        <w:pStyle w:val="Endnote"/>
        <w:suppressLineNumbers/>
        <w:spacing w:before="0" w:after="200"/>
        <w:ind w:left="340" w:hanging="340"/>
        <w:rPr/>
      </w:pPr>
      <w:r>
        <w:rPr/>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ans-serif">
    <w:altName w:val="Arial"/>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endnotePr>
    <w:numFmt w:val="decimal"/>
    <w:endnote w:id="0"/>
    <w:endnote w:id="1"/>
  </w:end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character" w:styleId="EndnoteCharacters">
    <w:name w:val="Endnote Characters"/>
    <w:qFormat/>
    <w:rPr/>
  </w:style>
  <w:style w:type="character" w:styleId="EndnoteAnchor">
    <w:name w:val="Endnote Anchor"/>
    <w:rPr>
      <w:vertAlign w:val="superscript"/>
    </w:rPr>
  </w:style>
  <w:style w:type="character" w:styleId="FootnoteCharacters">
    <w:name w:val="Footnote Characters"/>
    <w:qFormat/>
    <w:rPr/>
  </w:style>
  <w:style w:type="character" w:styleId="FootnoteAnchor">
    <w:name w:val="Footnote Anchor"/>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5"/>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3"/>
      </w:numPr>
      <w:spacing w:before="0" w:after="200"/>
      <w:contextualSpacing/>
    </w:pPr>
    <w:rPr/>
  </w:style>
  <w:style w:type="paragraph" w:styleId="ListBullet2">
    <w:name w:val="List Bullet 2"/>
    <w:basedOn w:val="Normal"/>
    <w:uiPriority w:val="99"/>
    <w:unhideWhenUsed/>
    <w:qFormat/>
    <w:rsid w:val="00326f90"/>
    <w:pPr>
      <w:numPr>
        <w:ilvl w:val="0"/>
        <w:numId w:val="4"/>
      </w:numPr>
      <w:spacing w:before="0" w:after="200"/>
      <w:contextualSpacing/>
    </w:pPr>
    <w:rPr/>
  </w:style>
  <w:style w:type="paragraph" w:styleId="ListNumber">
    <w:name w:val="List Number"/>
    <w:basedOn w:val="Normal"/>
    <w:uiPriority w:val="99"/>
    <w:unhideWhenUsed/>
    <w:qFormat/>
    <w:rsid w:val="00326f90"/>
    <w:pPr>
      <w:numPr>
        <w:ilvl w:val="0"/>
        <w:numId w:val="6"/>
      </w:numPr>
      <w:spacing w:before="0" w:after="200"/>
      <w:contextualSpacing/>
    </w:pPr>
    <w:rPr/>
  </w:style>
  <w:style w:type="paragraph" w:styleId="ListNumber2">
    <w:name w:val="List Number 2"/>
    <w:basedOn w:val="Normal"/>
    <w:uiPriority w:val="99"/>
    <w:unhideWhenUsed/>
    <w:qFormat/>
    <w:rsid w:val="0029639d"/>
    <w:pPr>
      <w:numPr>
        <w:ilvl w:val="0"/>
        <w:numId w:val="7"/>
      </w:numPr>
      <w:spacing w:before="0" w:after="200"/>
      <w:contextualSpacing/>
    </w:pPr>
    <w:rPr/>
  </w:style>
  <w:style w:type="paragraph" w:styleId="ListNumber3">
    <w:name w:val="List Number 3"/>
    <w:basedOn w:val="Normal"/>
    <w:uiPriority w:val="99"/>
    <w:unhideWhenUsed/>
    <w:qFormat/>
    <w:rsid w:val="0029639d"/>
    <w:pPr>
      <w:numPr>
        <w:ilvl w:val="0"/>
        <w:numId w:val="8"/>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paragraph" w:styleId="Endnote">
    <w:name w:val="Endnote Text"/>
    <w:basedOn w:val="Normal"/>
    <w:pPr>
      <w:suppressLineNumbers/>
      <w:ind w:left="340" w:hanging="340"/>
    </w:pPr>
    <w:rPr>
      <w:sz w:val="20"/>
      <w:szCs w:val="20"/>
    </w:rPr>
  </w:style>
  <w:style w:type="paragraph" w:styleId="Footnote">
    <w:name w:val="Footnote Text"/>
    <w:basedOn w:val="Normal"/>
    <w:pPr>
      <w:suppressLineNumbers/>
      <w:ind w:left="340" w:hanging="340"/>
    </w:pPr>
    <w:rPr>
      <w:sz w:val="20"/>
      <w:szCs w:val="20"/>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ttps://www.usbr.gov/ColoradoRiverBasin/documents/NearTermColoradoRiverOperations/PublicComments/Organizations/557_Stout Research Center_508.pdf" TargetMode="External"/><Relationship Id="rId4" Type="http://schemas.openxmlformats.org/officeDocument/2006/relationships/hyperlink" Target="https://drecp.databasin.org/datasets/fa558be352624899a9e74d937ba8dc3b" TargetMode="External"/><Relationship Id="rId5" Type="http://schemas.openxmlformats.org/officeDocument/2006/relationships/hyperlink" Target="https://www.waterboards.ca.gov/coloradoriver/water_issues/programs/irrigated_lands/docs/imperial/R7-2021-0050-imperial-2.pdf" TargetMode="External"/><Relationship Id="rId6" Type="http://schemas.openxmlformats.org/officeDocument/2006/relationships/hyperlink" Target="https://www.iid.com/home/showpublisheddocument/17299/636763993652100000" TargetMode="External"/><Relationship Id="rId7" Type="http://schemas.openxmlformats.org/officeDocument/2006/relationships/hyperlink" Target="https://www.iid.com/home/showpublisheddocument/14291/636256902073370000" TargetMode="External"/><Relationship Id="rId8" Type="http://schemas.openxmlformats.org/officeDocument/2006/relationships/hyperlink" Target="https://www.iid.com/home/showpublisheddocument/9592/635648001335730000" TargetMode="External"/><Relationship Id="rId9" Type="http://schemas.openxmlformats.org/officeDocument/2006/relationships/hyperlink" Target="https://www.iid.com/water/library/title-22-reports" TargetMode="External"/><Relationship Id="rId10" Type="http://schemas.openxmlformats.org/officeDocument/2006/relationships/hyperlink" Target="https://pubs.usgs.gov/pp/0486a/report.pdf" TargetMode="External"/><Relationship Id="rId11" Type="http://schemas.openxmlformats.org/officeDocument/2006/relationships/hyperlink" Target="https://pubs.usgs.gov/pp/0486e/report.pdf" TargetMode="External"/><Relationship Id="rId12" Type="http://schemas.openxmlformats.org/officeDocument/2006/relationships/hyperlink" Target="https://pacinst.org/publication/past-and-future-of-the-salton-sea/" TargetMode="External"/><Relationship Id="rId13" Type="http://schemas.openxmlformats.org/officeDocument/2006/relationships/hyperlink" Target="https://www.ppic.org/blog/the-troubled-history-and-uncertain-future-of-the-salton-sea/" TargetMode="External"/><Relationship Id="rId14" Type="http://schemas.openxmlformats.org/officeDocument/2006/relationships/hyperlink" Target="" TargetMode="External"/><Relationship Id="rId15" Type="http://schemas.openxmlformats.org/officeDocument/2006/relationships/image" Target="media/image2.png"/><Relationship Id="rId16" Type="http://schemas.openxmlformats.org/officeDocument/2006/relationships/footer" Target="footer1.xml"/><Relationship Id="rId17" Type="http://schemas.openxmlformats.org/officeDocument/2006/relationships/endnotes" Target="end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1887</TotalTime>
  <Application>LibreOffice/7.3.7.2$Linux_AARCH64 LibreOffice_project/30$Build-2</Application>
  <AppVersion>15.0000</AppVersion>
  <Pages>9</Pages>
  <Words>1510</Words>
  <Characters>7680</Characters>
  <CharactersWithSpaces>9126</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2026-03-15T12:40:21Z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