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end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emf" ContentType="image/x-emf"/>
  <Override PartName="/word/embeddings/oleObject1.xlsx" ContentType="application/vnd.openxmlformats-officedocument.spreadsheetml.sheet"/>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endnotes.xml" ContentType="application/vnd.openxmlformats-officedocument.wordprocessingml.endnote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sz w:val="48"/>
        </w:rPr>
        <w:t>Colorado River Crisis</w:t>
      </w:r>
    </w:p>
    <w:p>
      <w:pPr>
        <w:pStyle w:val="Normal"/>
        <w:jc w:val="center"/>
        <w:rPr/>
      </w:pPr>
      <w:r>
        <w:rPr>
          <w:b/>
          <w:sz w:val="48"/>
        </w:rPr>
        <w:t>Compact Litigation Issues</w:t>
      </w:r>
    </w:p>
    <w:p>
      <w:pPr>
        <w:pStyle w:val="Normal"/>
        <w:jc w:val="center"/>
        <w:rPr/>
      </w:pPr>
      <w:r>
        <w:rPr>
          <w:sz w:val="28"/>
        </w:rPr>
        <w:t>Prepared by: Ed Millard</w:t>
      </w:r>
    </w:p>
    <w:p>
      <w:pPr>
        <w:pStyle w:val="Normal"/>
        <w:jc w:val="center"/>
        <w:rPr/>
      </w:pPr>
      <w:r>
        <w:rPr>
          <w:sz w:val="28"/>
        </w:rPr>
        <w:t>Water Policy Advisor to Colorado Rep. Larry Don Suckla</w:t>
      </w:r>
    </w:p>
    <w:p>
      <w:pPr>
        <w:pStyle w:val="Normal"/>
        <w:jc w:val="center"/>
        <w:rPr/>
      </w:pPr>
      <w:r>
        <w:rPr>
          <w:sz w:val="28"/>
        </w:rPr>
        <w:t>Date: March 7, 2026</w:t>
      </w:r>
    </w:p>
    <w:p>
      <w:pPr>
        <w:pStyle w:val="Normal"/>
        <w:jc w:val="center"/>
        <w:rPr/>
      </w:pPr>
      <w:r>
        <w:rPr>
          <w:sz w:val="28"/>
        </w:rPr>
        <w:t>Version  1.3g</w:t>
      </w:r>
    </w:p>
    <w:p>
      <w:pPr>
        <w:pStyle w:val="Normal"/>
        <w:jc w:val="center"/>
        <w:rPr>
          <w:sz w:val="22"/>
          <w:szCs w:val="22"/>
        </w:rPr>
      </w:pPr>
      <w:r>
        <w:rPr>
          <w:sz w:val="22"/>
          <w:szCs w:val="22"/>
        </w:rPr>
        <w:t>Living Document, Work in Progress, Don’t Sue Me, Join Me</w:t>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2968625"/>
            <wp:effectExtent l="0" t="0" r="0" b="0"/>
            <wp:wrapSquare wrapText="largest"/>
            <wp:docPr id="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pic:cNvPicPr>
                      <a:picLocks noChangeAspect="1" noChangeArrowheads="1"/>
                    </pic:cNvPicPr>
                  </pic:nvPicPr>
                  <pic:blipFill>
                    <a:blip r:embed="rId2"/>
                    <a:stretch>
                      <a:fillRect/>
                    </a:stretch>
                  </pic:blipFill>
                  <pic:spPr bwMode="auto">
                    <a:xfrm>
                      <a:off x="0" y="0"/>
                      <a:ext cx="5943600" cy="2968625"/>
                    </a:xfrm>
                    <a:prstGeom prst="rect">
                      <a:avLst/>
                    </a:prstGeom>
                  </pic:spPr>
                </pic:pic>
              </a:graphicData>
            </a:graphic>
          </wp:anchor>
        </w:drawing>
      </w:r>
    </w:p>
    <w:sdt>
      <w:sdtPr>
        <w:docPartObj>
          <w:docPartGallery w:val="Table of Contents"/>
          <w:docPartUnique w:val="true"/>
        </w:docPartObj>
      </w:sdtPr>
      <w:sdtContent>
        <w:p>
          <w:pPr>
            <w:pStyle w:val="ContentsHeading"/>
            <w:rPr/>
          </w:pPr>
          <w:r>
            <w:br w:type="page"/>
          </w:r>
          <w:r>
            <w:rPr/>
            <w:t>Table of Contents</w:t>
          </w:r>
        </w:p>
        <w:p>
          <w:pPr>
            <w:pStyle w:val="Contents1"/>
            <w:tabs>
              <w:tab w:val="clear" w:pos="12960"/>
              <w:tab w:val="right" w:pos="9360" w:leader="dot"/>
            </w:tabs>
            <w:rPr/>
          </w:pPr>
          <w:r>
            <w:fldChar w:fldCharType="begin"/>
          </w:r>
          <w:r>
            <w:rPr>
              <w:rStyle w:val="IndexLink"/>
            </w:rPr>
            <w:instrText xml:space="preserve"> TOC \f \o "1-3" \h</w:instrText>
          </w:r>
          <w:r>
            <w:rPr>
              <w:rStyle w:val="IndexLink"/>
            </w:rPr>
            <w:fldChar w:fldCharType="separate"/>
          </w:r>
          <w:hyperlink w:anchor="__RefHeading___Toc1370_30329480061">
            <w:r>
              <w:rPr>
                <w:rStyle w:val="IndexLink"/>
              </w:rPr>
              <w:t>Executive Summary</w:t>
              <w:tab/>
              <w:t>3</w:t>
            </w:r>
          </w:hyperlink>
        </w:p>
        <w:p>
          <w:pPr>
            <w:pStyle w:val="Contents1"/>
            <w:tabs>
              <w:tab w:val="clear" w:pos="12960"/>
              <w:tab w:val="right" w:pos="9360" w:leader="dot"/>
            </w:tabs>
            <w:rPr/>
          </w:pPr>
          <w:hyperlink w:anchor="__RefHeading___Toc10024_4147804815">
            <w:r>
              <w:rPr>
                <w:rStyle w:val="IndexLink"/>
              </w:rPr>
              <w:t>Disclaimer</w:t>
              <w:tab/>
              <w:t>4</w:t>
            </w:r>
          </w:hyperlink>
        </w:p>
        <w:p>
          <w:pPr>
            <w:pStyle w:val="Contents1"/>
            <w:tabs>
              <w:tab w:val="clear" w:pos="12960"/>
              <w:tab w:val="right" w:pos="9360" w:leader="dot"/>
            </w:tabs>
            <w:rPr/>
          </w:pPr>
          <w:hyperlink w:anchor="__RefHeading___Toc759_3032948006">
            <w:r>
              <w:rPr>
                <w:rStyle w:val="IndexLink"/>
              </w:rPr>
              <w:t>Litigation Issues Which Directly Impact Current Operations</w:t>
              <w:tab/>
              <w:t>5</w:t>
            </w:r>
          </w:hyperlink>
        </w:p>
        <w:p>
          <w:pPr>
            <w:pStyle w:val="Contents2"/>
            <w:tabs>
              <w:tab w:val="clear" w:pos="12677"/>
              <w:tab w:val="right" w:pos="9360" w:leader="dot"/>
            </w:tabs>
            <w:rPr/>
          </w:pPr>
          <w:hyperlink w:anchor="__RefHeading___Toc5667_4147804815">
            <w:r>
              <w:rPr>
                <w:rStyle w:val="IndexLink"/>
              </w:rPr>
              <w:t>Section 603</w:t>
              <w:tab/>
              <w:t>5</w:t>
            </w:r>
          </w:hyperlink>
        </w:p>
        <w:p>
          <w:pPr>
            <w:pStyle w:val="Contents2"/>
            <w:tabs>
              <w:tab w:val="clear" w:pos="12677"/>
              <w:tab w:val="right" w:pos="9360" w:leader="dot"/>
            </w:tabs>
            <w:rPr/>
          </w:pPr>
          <w:hyperlink w:anchor="__RefHeading___Toc761_3032948006">
            <w:r>
              <w:rPr>
                <w:rStyle w:val="IndexLink"/>
              </w:rPr>
              <w:t>Article III(c) Interpretation</w:t>
              <w:tab/>
              <w:t>8</w:t>
            </w:r>
          </w:hyperlink>
        </w:p>
        <w:p>
          <w:pPr>
            <w:pStyle w:val="Contents3"/>
            <w:tabs>
              <w:tab w:val="clear" w:pos="8793"/>
              <w:tab w:val="right" w:pos="9360" w:leader="dot"/>
            </w:tabs>
            <w:rPr/>
          </w:pPr>
          <w:hyperlink w:anchor="__RefHeading___Toc763_3032948006">
            <w:r>
              <w:rPr>
                <w:rStyle w:val="IndexLink"/>
              </w:rPr>
              <w:t>Background – This is Complicated, Sorry</w:t>
              <w:tab/>
              <w:t>8</w:t>
            </w:r>
          </w:hyperlink>
        </w:p>
        <w:p>
          <w:pPr>
            <w:pStyle w:val="Contents3"/>
            <w:tabs>
              <w:tab w:val="clear" w:pos="8793"/>
              <w:tab w:val="right" w:pos="9360" w:leader="dot"/>
            </w:tabs>
            <w:rPr/>
          </w:pPr>
          <w:hyperlink w:anchor="__RefHeading___Toc765_3032948006">
            <w:r>
              <w:rPr>
                <w:rStyle w:val="IndexLink"/>
              </w:rPr>
              <w:t>Scenario 1 - Status Quo, 2007 Interim Guidelines</w:t>
              <w:tab/>
              <w:t>12</w:t>
            </w:r>
          </w:hyperlink>
        </w:p>
        <w:p>
          <w:pPr>
            <w:pStyle w:val="Contents3"/>
            <w:tabs>
              <w:tab w:val="clear" w:pos="8793"/>
              <w:tab w:val="right" w:pos="9360" w:leader="dot"/>
            </w:tabs>
            <w:rPr/>
          </w:pPr>
          <w:hyperlink w:anchor="__RefHeading___Toc769_3032948006">
            <w:r>
              <w:rPr>
                <w:rStyle w:val="IndexLink"/>
              </w:rPr>
              <w:t>Scenario 2 – Beneficial Consumptive Use Based</w:t>
              <w:tab/>
              <w:t>13</w:t>
            </w:r>
          </w:hyperlink>
        </w:p>
        <w:p>
          <w:pPr>
            <w:pStyle w:val="Contents3"/>
            <w:tabs>
              <w:tab w:val="clear" w:pos="8793"/>
              <w:tab w:val="right" w:pos="9360" w:leader="dot"/>
            </w:tabs>
            <w:rPr/>
          </w:pPr>
          <w:hyperlink w:anchor="__RefHeading___Toc771_3032948006">
            <w:r>
              <w:rPr>
                <w:rStyle w:val="IndexLink"/>
              </w:rPr>
              <w:t>Scenario 3 – Supply Based</w:t>
              <w:tab/>
              <w:t>15</w:t>
            </w:r>
          </w:hyperlink>
        </w:p>
        <w:p>
          <w:pPr>
            <w:pStyle w:val="Contents2"/>
            <w:tabs>
              <w:tab w:val="clear" w:pos="12677"/>
              <w:tab w:val="right" w:pos="9360" w:leader="dot"/>
            </w:tabs>
            <w:rPr/>
          </w:pPr>
          <w:hyperlink w:anchor="__RefHeading___Toc773_3032948006">
            <w:r>
              <w:rPr>
                <w:rStyle w:val="IndexLink"/>
              </w:rPr>
              <w:t>Article III(e) Interpretation</w:t>
              <w:tab/>
              <w:t>17</w:t>
            </w:r>
          </w:hyperlink>
        </w:p>
        <w:p>
          <w:pPr>
            <w:pStyle w:val="Contents3"/>
            <w:tabs>
              <w:tab w:val="clear" w:pos="8793"/>
              <w:tab w:val="right" w:pos="9360" w:leader="dot"/>
            </w:tabs>
            <w:rPr/>
          </w:pPr>
          <w:hyperlink w:anchor="__RefHeading___Toc5795_4147804815">
            <w:r>
              <w:rPr>
                <w:rStyle w:val="IndexLink"/>
              </w:rPr>
              <w:t xml:space="preserve"> </w:t>
            </w:r>
            <w:r>
              <w:rPr>
                <w:rStyle w:val="IndexLink"/>
              </w:rPr>
              <w:t>Lower Basin Aquifer Storage Summary</w:t>
              <w:tab/>
              <w:t>21</w:t>
            </w:r>
          </w:hyperlink>
        </w:p>
        <w:p>
          <w:pPr>
            <w:pStyle w:val="Contents2"/>
            <w:tabs>
              <w:tab w:val="clear" w:pos="12677"/>
              <w:tab w:val="right" w:pos="9360" w:leader="dot"/>
            </w:tabs>
            <w:rPr/>
          </w:pPr>
          <w:hyperlink w:anchor="__RefHeading___Toc5831_4147804815">
            <w:r>
              <w:rPr>
                <w:rStyle w:val="IndexLink"/>
              </w:rPr>
              <w:t>Canonical Legal Arguments Related to Operational Questions</w:t>
              <w:tab/>
              <w:t>21</w:t>
            </w:r>
          </w:hyperlink>
        </w:p>
        <w:p>
          <w:pPr>
            <w:pStyle w:val="Contents3"/>
            <w:tabs>
              <w:tab w:val="clear" w:pos="8793"/>
              <w:tab w:val="right" w:pos="9360" w:leader="dot"/>
            </w:tabs>
            <w:rPr/>
          </w:pPr>
          <w:hyperlink w:anchor="__RefHeading___Toc6516_4147804815">
            <w:r>
              <w:rPr>
                <w:rStyle w:val="IndexLink"/>
              </w:rPr>
              <w:t>Article III(d)</w:t>
              <w:tab/>
              <w:t>21</w:t>
            </w:r>
          </w:hyperlink>
        </w:p>
        <w:p>
          <w:pPr>
            <w:pStyle w:val="Contents3"/>
            <w:tabs>
              <w:tab w:val="clear" w:pos="8793"/>
              <w:tab w:val="right" w:pos="9360" w:leader="dot"/>
            </w:tabs>
            <w:rPr/>
          </w:pPr>
          <w:hyperlink w:anchor="__RefHeading___Toc5773_4147804815">
            <w:r>
              <w:rPr>
                <w:rStyle w:val="IndexLink"/>
              </w:rPr>
              <w:t>Article III(b)</w:t>
              <w:tab/>
              <w:t>23</w:t>
            </w:r>
          </w:hyperlink>
        </w:p>
        <w:p>
          <w:pPr>
            <w:pStyle w:val="Contents3"/>
            <w:tabs>
              <w:tab w:val="clear" w:pos="8793"/>
              <w:tab w:val="right" w:pos="9360" w:leader="dot"/>
            </w:tabs>
            <w:rPr/>
          </w:pPr>
          <w:hyperlink w:anchor="__RefHeading___Toc2842_3032948006">
            <w:r>
              <w:rPr>
                <w:rStyle w:val="IndexLink"/>
              </w:rPr>
              <w:t>Gila River</w:t>
              <w:tab/>
              <w:t>24</w:t>
            </w:r>
          </w:hyperlink>
          <w:r>
            <w:rPr>
              <w:rStyle w:val="IndexLink"/>
            </w:rPr>
            <w:fldChar w:fldCharType="end"/>
          </w:r>
        </w:p>
      </w:sdtContent>
    </w:sdt>
    <w:p>
      <w:pPr>
        <w:pStyle w:val="Heading1"/>
        <w:rPr/>
      </w:pPr>
      <w:r>
        <w:rPr/>
      </w:r>
      <w:r>
        <w:br w:type="page"/>
      </w:r>
    </w:p>
    <w:p>
      <w:pPr>
        <w:pStyle w:val="Heading1"/>
        <w:spacing w:before="480" w:after="0"/>
        <w:rPr>
          <w:rFonts w:ascii="Liberation Sans" w:hAnsi="Liberation Sans"/>
        </w:rPr>
      </w:pPr>
      <w:bookmarkStart w:id="0" w:name="__RefHeading___Toc1370_30329480061"/>
      <w:bookmarkEnd w:id="0"/>
      <w:r>
        <w:rPr>
          <w:rFonts w:ascii="Liberation Sans" w:hAnsi="Liberation Sans"/>
        </w:rPr>
        <w:t>Executive Summary</w:t>
      </w:r>
    </w:p>
    <w:p>
      <w:pPr>
        <w:pStyle w:val="Normal"/>
        <w:numPr>
          <w:ilvl w:val="0"/>
          <w:numId w:val="1"/>
        </w:numPr>
        <w:spacing w:before="480" w:after="0"/>
        <w:rPr/>
      </w:pPr>
      <w:r>
        <w:rPr/>
        <w:t>We offer a novel interpretation of how III(c) surplus/deficit is calculated that fundamentally improves and corrections the current flawed Arizona interpretation in the 2007 Interim guidelines and maybe even in Section 602 and LROC</w:t>
      </w:r>
    </w:p>
    <w:p>
      <w:pPr>
        <w:pStyle w:val="Normal"/>
        <w:numPr>
          <w:ilvl w:val="0"/>
          <w:numId w:val="2"/>
        </w:numPr>
        <w:spacing w:before="480" w:after="0"/>
        <w:rPr/>
      </w:pPr>
      <w:r>
        <w:rPr/>
        <w:t>The Lower Basin seems to have horded 9-14 MAF of Colorado River water in aquifers which seems to run counter to III(e) since the water isn’t being put to beneficial consumptive use.   By taking this water from reservoirs it appears they may have contributed to the demise of Lake Powell and are pushing the Upper Basin toward compact non-compliance which seems to invoke Section 603.  We ask the Bureau and Lower Basin to develop a plan to tap this water immediately to bridge the River through the looming crisis when Lake Powell goes on Run of the River.</w:t>
      </w:r>
    </w:p>
    <w:p>
      <w:pPr>
        <w:pStyle w:val="Normal"/>
        <w:numPr>
          <w:ilvl w:val="0"/>
          <w:numId w:val="2"/>
        </w:numPr>
        <w:spacing w:before="480" w:after="0"/>
        <w:rPr/>
      </w:pPr>
      <w:r>
        <w:rPr/>
        <w:t>Its imperative the wall in Article III(a) between the basins be protected and that no inter basin marketing or transfers occur.</w:t>
      </w:r>
      <w:r>
        <w:br w:type="page"/>
      </w:r>
    </w:p>
    <w:p>
      <w:pPr>
        <w:pStyle w:val="Heading1"/>
        <w:rPr/>
      </w:pPr>
      <w:bookmarkStart w:id="1" w:name="__RefHeading___Toc10024_4147804815"/>
      <w:bookmarkEnd w:id="1"/>
      <w:r>
        <w:rPr/>
        <w:t>Disclaimer</w:t>
      </w:r>
    </w:p>
    <w:p>
      <w:pPr>
        <w:pStyle w:val="Normal"/>
        <w:spacing w:before="0" w:after="0"/>
        <w:rPr/>
      </w:pPr>
      <w:r>
        <w:rPr>
          <w:b/>
          <w:bCs/>
        </w:rPr>
        <w:t>Disclaimer: I, Ed Millard, am a knowledgeable citizen but I do not speak for Colorado or the UCRC.  I do not work for the State of Colorado.  I am an informal water policy advisor to Colorado Representative Larry Don Suckla who represents counties in Southwestern Colorado and have been for more than a decade.  I am not a lawyer. I an not a Professional Engineer. I am concerned the current doom loop in the Colorado River will not end well for anyone.  There are many legal arguments in this paper, they should in no way be treated as actual legal threats or basis for actual litigation even if they sound that way.  They are provided purely to spark conversation about and better understanding of these complex issues among people who are not lawyers.</w:t>
      </w:r>
    </w:p>
    <w:p>
      <w:pPr>
        <w:pStyle w:val="Heading1"/>
        <w:rPr/>
      </w:pPr>
      <w:r>
        <w:rPr/>
      </w:r>
      <w:r>
        <w:br w:type="page"/>
      </w:r>
    </w:p>
    <w:p>
      <w:pPr>
        <w:pStyle w:val="Heading1"/>
        <w:rPr/>
      </w:pPr>
      <w:bookmarkStart w:id="2" w:name="__RefHeading___Toc759_3032948006"/>
      <w:bookmarkEnd w:id="2"/>
      <w:r>
        <w:rPr/>
        <w:t>Litigation Issues Which Directly Impact Current Operations</w:t>
      </w:r>
    </w:p>
    <w:p>
      <w:pPr>
        <w:pStyle w:val="Normal"/>
        <w:rPr/>
      </w:pPr>
      <w:r>
        <w:rPr/>
      </w:r>
    </w:p>
    <w:p>
      <w:pPr>
        <w:pStyle w:val="Normal"/>
        <w:rPr/>
      </w:pPr>
      <w:r>
        <w:rPr/>
        <w:t>These issues may be a matter of litigation but they in fact have to be resolved to have an even a minimally functional operating plan for this system which complies with the actual terms of the Compact and the 1968 CRBPA, so is relevant to this EIS process.</w:t>
      </w:r>
    </w:p>
    <w:p>
      <w:pPr>
        <w:pStyle w:val="Heading2"/>
        <w:rPr/>
      </w:pPr>
      <w:bookmarkStart w:id="3" w:name="__RefHeading___Toc5667_4147804815"/>
      <w:bookmarkEnd w:id="3"/>
      <w:r>
        <w:rPr/>
        <w:t>Section 603</w:t>
      </w:r>
    </w:p>
    <w:p>
      <w:pPr>
        <w:pStyle w:val="Normal"/>
        <w:spacing w:before="0" w:after="0"/>
        <w:rPr/>
      </w:pPr>
      <w:r>
        <w:rPr>
          <w:b/>
          <w:bCs/>
        </w:rPr>
        <w:t>Objective</w:t>
      </w:r>
      <w:r>
        <w:rPr/>
        <w:t>: Based on Arizona’s misinterpretation of Article III(c) and the Eric Kuhn et al “Tripwire” paper there is a plausible case for Colorado to invoke Section 603, Federal law in the 1968 CRBPA that authorized CAP</w:t>
      </w:r>
    </w:p>
    <w:p>
      <w:pPr>
        <w:pStyle w:val="Normal"/>
        <w:spacing w:before="0" w:after="0"/>
        <w:rPr/>
      </w:pPr>
      <w:r>
        <w:rPr/>
      </w:r>
    </w:p>
    <w:p>
      <w:pPr>
        <w:pStyle w:val="Normal"/>
        <w:spacing w:before="0" w:after="0"/>
        <w:rPr/>
      </w:pPr>
      <w:r>
        <w:rPr/>
        <w:t>A credible legal argument can be made that this sequence:</w:t>
      </w:r>
    </w:p>
    <w:p>
      <w:pPr>
        <w:pStyle w:val="Normal"/>
        <w:spacing w:before="0" w:after="0"/>
        <w:rPr/>
      </w:pPr>
      <w:r>
        <w:rPr/>
      </w:r>
    </w:p>
    <w:p>
      <w:pPr>
        <w:pStyle w:val="Normal"/>
        <w:numPr>
          <w:ilvl w:val="0"/>
          <w:numId w:val="14"/>
        </w:numPr>
        <w:spacing w:before="0" w:after="0"/>
        <w:rPr/>
      </w:pPr>
      <w:r>
        <w:rPr/>
        <w:t>the 2007 Interim Guidelines’ treatment of Compact Article III(c)</w:t>
      </w:r>
    </w:p>
    <w:p>
      <w:pPr>
        <w:pStyle w:val="Normal"/>
        <w:numPr>
          <w:ilvl w:val="0"/>
          <w:numId w:val="14"/>
        </w:numPr>
        <w:spacing w:before="0" w:after="0"/>
        <w:rPr/>
      </w:pPr>
      <w:r>
        <w:rPr/>
        <w:t xml:space="preserve">CAP’s exploitation of the operational “sweet spot,” </w:t>
      </w:r>
    </w:p>
    <w:p>
      <w:pPr>
        <w:pStyle w:val="Normal"/>
        <w:numPr>
          <w:ilvl w:val="0"/>
          <w:numId w:val="14"/>
        </w:numPr>
        <w:spacing w:before="0" w:after="0"/>
        <w:rPr/>
      </w:pPr>
      <w:r>
        <w:rPr/>
        <w:t>the resulting 9 MAF Powell releases in 2015–2019</w:t>
      </w:r>
    </w:p>
    <w:p>
      <w:pPr>
        <w:pStyle w:val="Normal"/>
        <w:numPr>
          <w:ilvl w:val="0"/>
          <w:numId w:val="14"/>
        </w:numPr>
        <w:spacing w:before="0" w:after="0"/>
        <w:rPr/>
      </w:pPr>
      <w:r>
        <w:rPr/>
        <w:t>the subsequent drop to ~7.5–8.23 MAF releases today</w:t>
      </w:r>
    </w:p>
    <w:p>
      <w:pPr>
        <w:pStyle w:val="Normal"/>
        <w:spacing w:before="0" w:after="0"/>
        <w:rPr/>
      </w:pPr>
      <w:r>
        <w:rPr/>
        <w:br/>
        <w:t>has prejudiced Upper Basin rights in violation of Section 603(a) of the 1968 Colorado River Basin Project Act (CRBPA), especially if it forces Upper Basin curtailment.</w:t>
      </w:r>
    </w:p>
    <w:p>
      <w:pPr>
        <w:pStyle w:val="Normal"/>
        <w:spacing w:before="0" w:after="0"/>
        <w:ind w:left="720" w:hanging="0"/>
        <w:rPr/>
      </w:pPr>
      <w:r>
        <w:rPr/>
        <w:br/>
      </w:r>
      <w:hyperlink r:id="rId3">
        <w:r>
          <w:rPr>
            <w:rStyle w:val="InternetLink"/>
          </w:rPr>
          <w:t>Section 603(a), CRBPA (Pub. L. 90-537, 82 Stat. 885, 901):</w:t>
        </w:r>
      </w:hyperlink>
    </w:p>
    <w:p>
      <w:pPr>
        <w:pStyle w:val="Normal"/>
        <w:spacing w:before="0" w:after="0"/>
        <w:rPr/>
      </w:pPr>
      <w:r>
        <w:rPr/>
      </w:r>
    </w:p>
    <w:p>
      <w:pPr>
        <w:pStyle w:val="Normal"/>
        <w:spacing w:before="0" w:after="0"/>
        <w:ind w:left="720" w:hanging="0"/>
        <w:rPr/>
      </w:pPr>
      <w:r>
        <w:rPr/>
        <w:t xml:space="preserve"> “</w:t>
      </w:r>
      <w:r>
        <w:rPr>
          <w:i/>
          <w:iCs/>
        </w:rPr>
        <w:t>Rights of the upper basin to the consumptive use of water available to that basin from the Colorado River system under the Colorado River Compact shall not be reduced or prejudiced by any use of such water in the lower basin</w:t>
      </w:r>
      <w:r>
        <w:rPr/>
        <w:t>.”</w:t>
      </w:r>
    </w:p>
    <w:p>
      <w:pPr>
        <w:pStyle w:val="Normal"/>
        <w:spacing w:before="0" w:after="0"/>
        <w:rPr/>
      </w:pPr>
      <w:r>
        <w:rPr/>
        <w:br/>
        <w:t>This provision was a key Upper Basin protection inserted in 1968 to safeguard against Lower Basin development (especially the then-new CAP) impairing Upper Basin Compact rights.</w:t>
      </w:r>
    </w:p>
    <w:p>
      <w:pPr>
        <w:pStyle w:val="Normal"/>
        <w:spacing w:before="0" w:after="0"/>
        <w:rPr/>
      </w:pPr>
      <w:r>
        <w:rPr/>
        <w:br/>
        <w:t xml:space="preserve">On the last page of the Tripwire Paper (Eric Kuhn &amp; John Fleck, 2025-ish draft): </w:t>
      </w:r>
    </w:p>
    <w:p>
      <w:pPr>
        <w:pStyle w:val="Normal"/>
        <w:spacing w:before="0" w:after="0"/>
        <w:rPr/>
      </w:pPr>
      <w:r>
        <w:rPr/>
      </w:r>
    </w:p>
    <w:p>
      <w:pPr>
        <w:pStyle w:val="Normal"/>
        <w:spacing w:before="0" w:after="0"/>
        <w:ind w:left="720" w:hanging="0"/>
        <w:rPr/>
      </w:pPr>
      <w:hyperlink r:id="rId4">
        <w:r>
          <w:rPr>
            <w:rStyle w:val="InternetLink"/>
          </w:rPr>
          <w:t>The 1922 Compact is Now the Obvious Elephant in the Negotiating Room</w:t>
        </w:r>
      </w:hyperlink>
    </w:p>
    <w:p>
      <w:pPr>
        <w:pStyle w:val="Normal"/>
        <w:spacing w:before="0" w:after="0"/>
        <w:rPr/>
      </w:pPr>
      <w:r>
        <w:rPr/>
      </w:r>
    </w:p>
    <w:p>
      <w:pPr>
        <w:pStyle w:val="Normal"/>
        <w:spacing w:before="0" w:after="0"/>
        <w:rPr/>
      </w:pPr>
      <w:r>
        <w:rPr/>
        <w:t>It concludes that the system is on track to breach the “tripwire” (10-year Lee Ferry flow &lt; 82.5 MAF) soon unless unusually wet years occur. High releases (9 MAF 2015–2019) created a temporary bubble in the moving average, but as those years roll off and are replaced by lower releases (e.g., 8.23 MAF or the current ~7.48 MAF under most-probable scenarios), the 10-year total drops below 82.5 MAF. The paper argues there is “no painless strategy” that protects both Powell (&gt;3,500 ft) and the tripwire; the only real solution is a basin-wide enforceable agreement with Compact claim waivers.</w:t>
      </w:r>
    </w:p>
    <w:p>
      <w:pPr>
        <w:pStyle w:val="Normal"/>
        <w:spacing w:before="0" w:after="0"/>
        <w:rPr/>
      </w:pPr>
      <w:r>
        <w:rPr/>
        <w:br/>
      </w:r>
      <w:r>
        <w:rPr>
          <w:b/>
          <w:bCs/>
        </w:rPr>
        <w:t>The “Tripwire” and Article III(c) Connection</w:t>
      </w:r>
      <w:r>
        <w:rPr/>
        <w:t xml:space="preserve"> </w:t>
      </w:r>
    </w:p>
    <w:p>
      <w:pPr>
        <w:pStyle w:val="Normal"/>
        <w:spacing w:before="0" w:after="0"/>
        <w:rPr/>
      </w:pPr>
      <w:r>
        <w:rPr/>
        <w:t>The 82.5 MAF figure is not just Article III(d)’s 75 MAF/10-year non-depletion obligation. It incorporates an interpretation of Article III(c) of the 1922 Compact: if there is no surplus above the 16 MAF apportioned to both basins (7.5 each), the Upper Basin must deliver its half-share of Mexico’s 1.5 MAF treaty obligation (0.75 MAF/year = 7.5 MAF/10 years) at Lee Ferry, for a total delivery obligation of 82.5 MAF. • Upper Basin view: III(c) creates an additional delivery requirement once “surplus” is exhausted. • Lower Basin view (historically): Surplus (including Lower Basin overuse above 8.5 MAF) covers Mexico first; Upper’s extra obligation is minimal or conditional.</w:t>
      </w:r>
    </w:p>
    <w:p>
      <w:pPr>
        <w:pStyle w:val="Normal"/>
        <w:spacing w:before="0" w:after="0"/>
        <w:rPr/>
      </w:pPr>
      <w:r>
        <w:rPr/>
        <w:br/>
        <w:t>The 2007 Interim Guidelines (Record of Decision) embedded operational assumptions that leaned toward the Lower Basin interpretation by coordinating Powell releases to protect Mead elevations. This produced the 9 MAF releases when Mead was in the ~1,075–1,100 ft range (the “sweet spot” that avoided Lower Basin shortages while triggering higher Powell releases under equalization/balancing rules):</w:t>
      </w:r>
    </w:p>
    <w:p>
      <w:pPr>
        <w:pStyle w:val="Normal"/>
        <w:spacing w:before="0" w:after="0"/>
        <w:rPr/>
      </w:pPr>
      <w:r>
        <w:rPr/>
      </w:r>
    </w:p>
    <w:p>
      <w:pPr>
        <w:pStyle w:val="Normal"/>
        <w:spacing w:before="0" w:after="0"/>
        <w:ind w:left="720" w:hanging="0"/>
        <w:rPr/>
      </w:pPr>
      <w:hyperlink r:id="rId5">
        <w:r>
          <w:rPr>
            <w:rStyle w:val="InternetLink"/>
          </w:rPr>
          <w:t>The Lower Basin Drought Contingency Plan: Development and Delays</w:t>
        </w:r>
      </w:hyperlink>
    </w:p>
    <w:p>
      <w:pPr>
        <w:pStyle w:val="Normal"/>
        <w:spacing w:before="0" w:after="0"/>
        <w:ind w:left="720" w:hanging="0"/>
        <w:rPr/>
      </w:pPr>
      <w:r>
        <w:rPr/>
        <w:t>William Tintor</w:t>
      </w:r>
    </w:p>
    <w:p>
      <w:pPr>
        <w:pStyle w:val="Normal"/>
        <w:spacing w:before="0" w:after="0"/>
        <w:ind w:left="720" w:hanging="0"/>
        <w:rPr/>
      </w:pPr>
      <w:r>
        <w:rPr/>
        <w:t>Water Policy in Arizona and the Semi-arid West – Research Paper</w:t>
      </w:r>
    </w:p>
    <w:p>
      <w:pPr>
        <w:pStyle w:val="Normal"/>
        <w:spacing w:before="0" w:after="0"/>
        <w:rPr/>
      </w:pPr>
      <w:r>
        <w:rPr/>
        <w:br/>
        <w:t xml:space="preserve">CAP’s “Sweet Spot” Strategy In 2017–2018, CAP (and Arizona) openly discussed managing demands to keep Mead in the elevation band that triggered higher Powell releases (~9 MAF) while avoiding formal shortage declarations. </w:t>
      </w:r>
    </w:p>
    <w:p>
      <w:pPr>
        <w:pStyle w:val="Normal"/>
        <w:spacing w:before="0" w:after="0"/>
        <w:rPr/>
      </w:pPr>
      <w:r>
        <w:rPr/>
      </w:r>
    </w:p>
    <w:p>
      <w:pPr>
        <w:pStyle w:val="Normal"/>
        <w:spacing w:before="0" w:after="0"/>
        <w:rPr/>
      </w:pPr>
      <w:r>
        <w:rPr/>
        <w:t>Upper Basin states (via UCRC) accused Arizona/CAP of “gaming” or “manipulating” the guidelines to extract extra water from Powell storage at Upper Basin expense. This was widely reported as a flash point (e.g., Upper Basin representatives called it undermining the purpose of coordinated operations). These high releases temporarily kept the 10-year Lee Ferry average high but depleted Powell storage and inflated the moving average. As those 9 MAF years fall out (starting ~2025–2027) and are replaced by lower releases, the average is projected to cross below 82.5 MAF.</w:t>
      </w:r>
    </w:p>
    <w:p>
      <w:pPr>
        <w:pStyle w:val="Normal"/>
        <w:spacing w:before="0" w:after="0"/>
        <w:rPr/>
      </w:pPr>
      <w:r>
        <w:rPr/>
        <w:br/>
        <w:t xml:space="preserve">How This Ties to a Section 603 Breach Argument If the 10-year flow drops below 82.5 MAF: </w:t>
      </w:r>
    </w:p>
    <w:p>
      <w:pPr>
        <w:pStyle w:val="Normal"/>
        <w:numPr>
          <w:ilvl w:val="0"/>
          <w:numId w:val="14"/>
        </w:numPr>
        <w:spacing w:before="0" w:after="0"/>
        <w:rPr/>
      </w:pPr>
      <w:r>
        <w:rPr/>
        <w:t xml:space="preserve">Lower Basin states could argue a Compact violation (“Compact call”). </w:t>
      </w:r>
    </w:p>
    <w:p>
      <w:pPr>
        <w:pStyle w:val="Normal"/>
        <w:numPr>
          <w:ilvl w:val="0"/>
          <w:numId w:val="14"/>
        </w:numPr>
        <w:spacing w:before="0" w:after="0"/>
        <w:rPr/>
      </w:pPr>
      <w:r>
        <w:rPr/>
        <w:t xml:space="preserve">• </w:t>
      </w:r>
      <w:r>
        <w:rPr/>
        <w:t xml:space="preserve">This would pressure Upper Basin states to curtail uses (post-Compact rights first) to restore deliveries. </w:t>
      </w:r>
    </w:p>
    <w:p>
      <w:pPr>
        <w:pStyle w:val="Normal"/>
        <w:numPr>
          <w:ilvl w:val="0"/>
          <w:numId w:val="14"/>
        </w:numPr>
        <w:spacing w:before="0" w:after="0"/>
        <w:rPr/>
      </w:pPr>
      <w:r>
        <w:rPr/>
        <w:t>That curtailment would be a direct reduction/prejudice to Upper Basin consumptive uses—precisely what Section 603(a) forbids if caused by Lower Basin uses/operations.</w:t>
      </w:r>
    </w:p>
    <w:p>
      <w:pPr>
        <w:pStyle w:val="Normal"/>
        <w:spacing w:before="0" w:after="0"/>
        <w:rPr/>
      </w:pPr>
      <w:r>
        <w:rPr/>
        <w:br/>
        <w:t>The chain of causation runs through:</w:t>
        <w:br/>
        <w:t>1. The 2007 Guidelines’ interpretation/operation of III(c) and coordinated releases.</w:t>
        <w:br/>
        <w:t>2. CAP’s demand management to stay in the high-release “sweet spot.”</w:t>
        <w:br/>
        <w:t>3. The resulting excessive Powell drawdown.</w:t>
        <w:br/>
        <w:t>4. The current low-release regime that exposes the tripwire risk.</w:t>
        <w:br/>
        <w:t>Upper Basin interests could argue this was foreseeable, that the guidelines were administered in a way that favored Lower Basin deliveries over Upper Basin storage protection, and that Section 603 (a federal statute) overrides or constrains such prejudice.</w:t>
      </w:r>
    </w:p>
    <w:p>
      <w:pPr>
        <w:pStyle w:val="Normal"/>
        <w:spacing w:before="0" w:after="0"/>
        <w:rPr/>
      </w:pPr>
      <w:r>
        <w:rPr/>
        <w:br/>
      </w:r>
      <w:r>
        <w:rPr>
          <w:b/>
          <w:bCs/>
        </w:rPr>
        <w:t xml:space="preserve">Counterpoints and Realities </w:t>
      </w:r>
    </w:p>
    <w:p>
      <w:pPr>
        <w:pStyle w:val="Normal"/>
        <w:numPr>
          <w:ilvl w:val="0"/>
          <w:numId w:val="14"/>
        </w:numPr>
        <w:spacing w:before="0" w:after="0"/>
        <w:rPr/>
      </w:pPr>
      <w:r>
        <w:rPr/>
        <w:t>The guidelines were negotiated with Upper Basin participation (though many Upper Basin voices later felt the “sweet spot” dynamics were not fully anticipated). However Upper Basin negotiators were under duress from litigation threats.</w:t>
      </w:r>
    </w:p>
    <w:p>
      <w:pPr>
        <w:pStyle w:val="Normal"/>
        <w:numPr>
          <w:ilvl w:val="0"/>
          <w:numId w:val="14"/>
        </w:numPr>
        <w:spacing w:before="0" w:after="0"/>
        <w:rPr/>
      </w:pPr>
      <w:r>
        <w:rPr/>
        <w:t xml:space="preserve">Reclamation administers the dams under the CRBPA and prior acts; courts give deference to federal operational discretion. </w:t>
      </w:r>
    </w:p>
    <w:p>
      <w:pPr>
        <w:pStyle w:val="Normal"/>
        <w:numPr>
          <w:ilvl w:val="0"/>
          <w:numId w:val="14"/>
        </w:numPr>
        <w:spacing w:before="0" w:after="0"/>
        <w:rPr/>
      </w:pPr>
      <w:r>
        <w:rPr/>
        <w:t>No court has ever ruled on the exact III(c) delivery obligation or enforced the 82.5 MAF tripwire.</w:t>
      </w:r>
    </w:p>
    <w:p>
      <w:pPr>
        <w:pStyle w:val="Normal"/>
        <w:numPr>
          <w:ilvl w:val="0"/>
          <w:numId w:val="14"/>
        </w:numPr>
        <w:spacing w:before="0" w:after="0"/>
        <w:rPr/>
      </w:pPr>
      <w:r>
        <w:rPr/>
        <w:t>The Tripwire paper itself essentially concedes that litigation is a dead end (“will not create an additional drop of water”) and that the only viable path is negotiation + waiver of Compact claims.</w:t>
      </w:r>
    </w:p>
    <w:p>
      <w:pPr>
        <w:pStyle w:val="Normal"/>
        <w:spacing w:before="0" w:after="0"/>
        <w:rPr/>
      </w:pPr>
      <w:r>
        <w:rPr/>
        <w:br/>
        <w:t>In short: Yes, a strong policy/legal case exists that the described actions have prejudiced Upper Basin rights in violation of Section 603(a)’s plain language, especially if curtailment results. Whether a court would agree is another matter—the politics and federal authority make litigation risky for everyone. The paper’s conclusion is probably right: the only realistic escape is a comprehensive, enforceable basin-wide deal.</w:t>
      </w:r>
    </w:p>
    <w:p>
      <w:pPr>
        <w:pStyle w:val="Normal"/>
        <w:spacing w:before="0" w:after="0"/>
        <w:rPr/>
      </w:pPr>
      <w:r>
        <w:rPr/>
      </w:r>
    </w:p>
    <w:p>
      <w:pPr>
        <w:pStyle w:val="Heading2"/>
        <w:spacing w:before="0" w:after="0"/>
        <w:rPr/>
      </w:pPr>
      <w:bookmarkStart w:id="4" w:name="__RefHeading___Toc761_3032948006"/>
      <w:bookmarkEnd w:id="4"/>
      <w:r>
        <w:rPr/>
        <w:t>Article III(c) Interpretation</w:t>
      </w:r>
    </w:p>
    <w:p>
      <w:pPr>
        <w:pStyle w:val="Normal"/>
        <w:spacing w:before="0" w:after="0"/>
        <w:rPr>
          <w:b w:val="false"/>
          <w:b w:val="false"/>
          <w:bCs w:val="false"/>
        </w:rPr>
      </w:pPr>
      <w:r>
        <w:rPr>
          <w:b w:val="false"/>
          <w:bCs w:val="false"/>
        </w:rPr>
      </w:r>
    </w:p>
    <w:p>
      <w:pPr>
        <w:pStyle w:val="Normal"/>
        <w:spacing w:before="0" w:after="0"/>
        <w:rPr/>
      </w:pPr>
      <w:r>
        <w:rPr>
          <w:b/>
          <w:bCs/>
        </w:rPr>
        <w:t>Objective</w:t>
      </w:r>
      <w:r>
        <w:rPr/>
        <w:t>: Counter Arizona's expansive interpretation of Article III(c) to restore balance</w:t>
      </w:r>
    </w:p>
    <w:p>
      <w:pPr>
        <w:pStyle w:val="Normal"/>
        <w:spacing w:before="0" w:after="0"/>
        <w:rPr/>
      </w:pPr>
      <w:r>
        <w:rPr/>
      </w:r>
    </w:p>
    <w:p>
      <w:pPr>
        <w:pStyle w:val="Normal"/>
        <w:spacing w:before="0" w:after="0"/>
        <w:ind w:left="720" w:hanging="0"/>
        <w:rPr/>
      </w:pPr>
      <w:r>
        <w:rPr/>
        <w:t>“</w:t>
      </w:r>
      <w:r>
        <w:rPr>
          <w:i/>
          <w:iCs/>
        </w:rPr>
        <w:t>We may breach the compact in 2026, and almost certainly it will be breached in 2027…sobering news, it’s something that hasn’t happened before, our Upper Basin neighbors have always met that obligation in the past</w:t>
      </w:r>
      <w:r>
        <w:rPr/>
        <w:t xml:space="preserve">” </w:t>
      </w:r>
    </w:p>
    <w:p>
      <w:pPr>
        <w:pStyle w:val="Normal"/>
        <w:spacing w:before="0" w:after="0"/>
        <w:ind w:left="720" w:hanging="0"/>
        <w:rPr/>
      </w:pPr>
      <w:r>
        <w:rPr/>
        <w:t>Brenda Burman, General Manager, Central Arizona Project</w:t>
      </w:r>
    </w:p>
    <w:p>
      <w:pPr>
        <w:pStyle w:val="Normal"/>
        <w:spacing w:before="0" w:after="0"/>
        <w:rPr/>
      </w:pPr>
      <w:r>
        <w:rPr/>
        <w:br/>
        <w:t>Burman is talking about breaching Arizona’s interpretation of the compact which includes half of the Article III(c) Mexico obligation on top of Articles III(d)’s 7.5 MAF so 8.25 MAF over a 10 year moving average. Colorado doesn’t recognize this interpretation.</w:t>
      </w:r>
    </w:p>
    <w:p>
      <w:pPr>
        <w:pStyle w:val="Normal"/>
        <w:spacing w:before="0" w:after="0"/>
        <w:rPr/>
      </w:pPr>
      <w:r>
        <w:rPr/>
      </w:r>
    </w:p>
    <w:p>
      <w:pPr>
        <w:pStyle w:val="Normal"/>
        <w:spacing w:before="0" w:after="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296862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6"/>
                    <a:stretch>
                      <a:fillRect/>
                    </a:stretch>
                  </pic:blipFill>
                  <pic:spPr bwMode="auto">
                    <a:xfrm>
                      <a:off x="0" y="0"/>
                      <a:ext cx="5943600" cy="2968625"/>
                    </a:xfrm>
                    <a:prstGeom prst="rect">
                      <a:avLst/>
                    </a:prstGeom>
                  </pic:spPr>
                </pic:pic>
              </a:graphicData>
            </a:graphic>
          </wp:anchor>
        </w:drawing>
      </w:r>
    </w:p>
    <w:p>
      <w:pPr>
        <w:pStyle w:val="Heading3"/>
        <w:spacing w:before="0" w:after="0"/>
        <w:rPr/>
      </w:pPr>
      <w:bookmarkStart w:id="5" w:name="__RefHeading___Toc763_3032948006"/>
      <w:bookmarkEnd w:id="5"/>
      <w:r>
        <w:rPr/>
        <w:t>Background – This is Complicated, Sorry</w:t>
      </w:r>
    </w:p>
    <w:p>
      <w:pPr>
        <w:pStyle w:val="Normal"/>
        <w:spacing w:before="0" w:after="0"/>
        <w:rPr/>
      </w:pPr>
      <w:r>
        <w:rPr/>
        <w:t xml:space="preserve">There is problematic language in the </w:t>
      </w:r>
      <w:hyperlink r:id="rId7">
        <w:r>
          <w:rPr>
            <w:rStyle w:val="InternetLink"/>
          </w:rPr>
          <w:t>1922 Colorado River Compact</w:t>
        </w:r>
      </w:hyperlink>
    </w:p>
    <w:p>
      <w:pPr>
        <w:pStyle w:val="Normal"/>
        <w:spacing w:before="0" w:after="0"/>
        <w:rPr/>
      </w:pPr>
      <w:r>
        <w:rPr/>
      </w:r>
    </w:p>
    <w:p>
      <w:pPr>
        <w:pStyle w:val="Normal"/>
        <w:spacing w:before="0" w:after="0"/>
        <w:ind w:left="720" w:hanging="0"/>
        <w:rPr>
          <w:i/>
          <w:i/>
          <w:iCs/>
        </w:rPr>
      </w:pPr>
      <w:r>
        <w:rPr>
          <w:i/>
          <w:iCs/>
        </w:rPr>
        <w:t xml:space="preserve">(c) If, as a matter of international comity, the United States of America shall hereafter recognize in the United States of Mexico any right to the use of any waters of the Colorado River System, such waters shall be supplied first from the waters which are </w:t>
      </w:r>
      <w:r>
        <w:rPr>
          <w:b/>
          <w:bCs/>
          <w:i/>
          <w:iCs/>
        </w:rPr>
        <w:t>surplus over and above the aggregate of the quantities specified in paragraphs (a) and (b);</w:t>
      </w:r>
      <w:r>
        <w:rPr>
          <w:i/>
          <w:iCs/>
        </w:rPr>
        <w:t xml:space="preserve"> and if such surplus shall prove insufficient for this purpose, then, </w:t>
      </w:r>
      <w:r>
        <w:rPr>
          <w:b/>
          <w:bCs/>
          <w:i/>
          <w:iCs/>
        </w:rPr>
        <w:t>the burden of such deficiency shall be equally borne by the Upper Basin and the Lower Basin</w:t>
      </w:r>
      <w:r>
        <w:rPr>
          <w:i/>
          <w:iCs/>
        </w:rPr>
        <w:t xml:space="preserve">, and whenever necessary the </w:t>
      </w:r>
      <w:r>
        <w:rPr>
          <w:b/>
          <w:bCs/>
          <w:i/>
          <w:iCs/>
        </w:rPr>
        <w:t>States of the Upper Division shall deliver at Lee Ferry water to supply one-half of the deficiency so recognized in addition to that provided in paragraph (d)</w:t>
      </w:r>
      <w:r>
        <w:rPr>
          <w:i/>
          <w:iCs/>
        </w:rPr>
        <w:t>.</w:t>
      </w:r>
    </w:p>
    <w:p>
      <w:pPr>
        <w:pStyle w:val="Normal"/>
        <w:spacing w:before="0" w:after="0"/>
        <w:rPr>
          <w:i/>
          <w:i/>
          <w:iCs/>
        </w:rPr>
      </w:pPr>
      <w:r>
        <w:rPr>
          <w:i/>
          <w:iCs/>
        </w:rPr>
      </w:r>
    </w:p>
    <w:p>
      <w:pPr>
        <w:pStyle w:val="Normal"/>
        <w:spacing w:before="0" w:after="0"/>
        <w:rPr>
          <w:i w:val="false"/>
          <w:i w:val="false"/>
          <w:iCs w:val="false"/>
        </w:rPr>
      </w:pPr>
      <w:r>
        <w:rPr>
          <w:i w:val="false"/>
          <w:iCs w:val="false"/>
        </w:rPr>
        <w:t xml:space="preserve">The first problem is how do you determine whether the Colorado is in surplus or deficit. </w:t>
      </w:r>
    </w:p>
    <w:p>
      <w:pPr>
        <w:pStyle w:val="Normal"/>
        <w:spacing w:before="0" w:after="0"/>
        <w:rPr>
          <w:i w:val="false"/>
          <w:i w:val="false"/>
          <w:iCs w:val="false"/>
        </w:rPr>
      </w:pPr>
      <w:r>
        <w:rPr>
          <w:i w:val="false"/>
          <w:iCs w:val="false"/>
        </w:rPr>
      </w:r>
    </w:p>
    <w:p>
      <w:pPr>
        <w:pStyle w:val="Normal"/>
        <w:spacing w:before="0" w:after="0"/>
        <w:rPr>
          <w:i w:val="false"/>
          <w:i w:val="false"/>
          <w:iCs w:val="false"/>
        </w:rPr>
      </w:pPr>
      <w:r>
        <w:rPr/>
        <w:t>This is the ridiculously literal interpretation Arizona used in litigation threats 2005-2007:</w:t>
      </w:r>
    </w:p>
    <w:p>
      <w:pPr>
        <w:pStyle w:val="Normal"/>
        <w:spacing w:before="0" w:after="0"/>
        <w:rPr>
          <w:i w:val="false"/>
          <w:i w:val="false"/>
          <w:iCs w:val="false"/>
        </w:rPr>
      </w:pPr>
      <w:r>
        <w:rPr>
          <w:i w:val="false"/>
          <w:iCs w:val="false"/>
        </w:rPr>
      </w:r>
    </w:p>
    <w:p>
      <w:pPr>
        <w:pStyle w:val="Normal"/>
        <w:spacing w:before="0" w:after="0"/>
        <w:ind w:left="720" w:hanging="0"/>
        <w:rPr>
          <w:i w:val="false"/>
          <w:i w:val="false"/>
          <w:iCs w:val="false"/>
        </w:rPr>
      </w:pPr>
      <w:r>
        <w:rPr>
          <w:i w:val="false"/>
          <w:iCs w:val="false"/>
        </w:rPr>
        <w:t>16 MAF = 7.5 Lower Basin(A) + 1.0 Lower Basin(B) + 7.5 Upper Basin(A)</w:t>
      </w:r>
    </w:p>
    <w:p>
      <w:pPr>
        <w:pStyle w:val="Normal"/>
        <w:spacing w:before="0" w:after="0"/>
        <w:ind w:left="0" w:hanging="0"/>
        <w:rPr>
          <w:i w:val="false"/>
          <w:i w:val="false"/>
          <w:iCs w:val="false"/>
        </w:rPr>
      </w:pPr>
      <w:r>
        <w:rPr>
          <w:i w:val="false"/>
          <w:iCs w:val="false"/>
        </w:rPr>
      </w:r>
    </w:p>
    <w:p>
      <w:pPr>
        <w:pStyle w:val="Normal"/>
        <w:spacing w:before="0" w:after="0"/>
        <w:ind w:left="0" w:hanging="0"/>
        <w:rPr>
          <w:i w:val="false"/>
          <w:i w:val="false"/>
          <w:iCs w:val="false"/>
        </w:rPr>
      </w:pPr>
      <w:r>
        <w:rPr>
          <w:i w:val="false"/>
          <w:iCs w:val="false"/>
        </w:rPr>
        <w:t>The obvious flaw in this is the Upper Basin has never used its full entitlement so this interpretation is inevitably 3 MAF high. If this interpretation is correct we are ALWAYS in a deficit because this only works on a fully utilized river much bigger than it actually is. Its a little nuts</w:t>
      </w:r>
      <w:r>
        <w:rPr>
          <w:b/>
          <w:bCs/>
          <w:i w:val="false"/>
          <w:iCs w:val="false"/>
        </w:rPr>
        <w:t>.</w:t>
      </w:r>
    </w:p>
    <w:p>
      <w:pPr>
        <w:pStyle w:val="Normal"/>
        <w:spacing w:before="0" w:after="0"/>
        <w:ind w:left="0" w:hanging="0"/>
        <w:rPr>
          <w:i w:val="false"/>
          <w:i w:val="false"/>
          <w:iCs w:val="false"/>
        </w:rPr>
      </w:pPr>
      <w:r>
        <w:rPr>
          <w:i w:val="false"/>
          <w:iCs w:val="false"/>
        </w:rPr>
      </w:r>
    </w:p>
    <w:p>
      <w:pPr>
        <w:pStyle w:val="Normal"/>
        <w:spacing w:before="0" w:after="0"/>
        <w:ind w:left="0" w:hanging="0"/>
        <w:rPr>
          <w:i w:val="false"/>
          <w:i w:val="false"/>
          <w:iCs w:val="false"/>
        </w:rPr>
      </w:pPr>
      <w:r>
        <w:rPr/>
        <w:t>The only interpretation that makes any sense is the one the river would’ve actually used in 1922 to decide this if there had been a Mexico treaty.</w:t>
      </w:r>
      <w:r>
        <w:rPr>
          <w:b/>
          <w:bCs/>
          <w:i w:val="false"/>
          <w:iCs w:val="false"/>
        </w:rPr>
        <w:t xml:space="preserve">  </w:t>
      </w:r>
      <w:r>
        <w:rPr>
          <w:b w:val="false"/>
          <w:bCs w:val="false"/>
          <w:i w:val="false"/>
          <w:iCs w:val="false"/>
        </w:rPr>
        <w:t>The river did the math.  It was the natural flow of the river minus Upper Basin consumptive use and Lower Basin Consumptive Use which gives you how much water actually crossed the border into Mexico.  If it was above 1.5 MAF we were in surplus,  if it was below we were in deficit.</w:t>
      </w:r>
    </w:p>
    <w:p>
      <w:pPr>
        <w:pStyle w:val="Normal"/>
        <w:spacing w:before="0" w:after="0"/>
        <w:ind w:left="0" w:hanging="0"/>
        <w:rPr>
          <w:i w:val="false"/>
          <w:i w:val="false"/>
          <w:iCs w:val="false"/>
        </w:rPr>
      </w:pPr>
      <w:r>
        <w:rPr>
          <w:i w:val="false"/>
          <w:iCs w:val="false"/>
        </w:rPr>
      </w:r>
    </w:p>
    <w:p>
      <w:pPr>
        <w:pStyle w:val="Normal"/>
        <w:spacing w:before="0" w:after="0"/>
        <w:ind w:left="720" w:hanging="0"/>
        <w:rPr>
          <w:i w:val="false"/>
          <w:i w:val="false"/>
          <w:iCs w:val="false"/>
        </w:rPr>
      </w:pPr>
      <w:r>
        <w:rPr>
          <w:b w:val="false"/>
          <w:bCs w:val="false"/>
          <w:i w:val="false"/>
          <w:iCs w:val="false"/>
        </w:rPr>
        <w:t>Mexico = Natural Flow at Border – (Upper Basin CU + Lower Basin CU)</w:t>
      </w:r>
    </w:p>
    <w:p>
      <w:pPr>
        <w:pStyle w:val="Normal"/>
        <w:spacing w:before="0" w:after="0"/>
        <w:ind w:left="720" w:hanging="0"/>
        <w:rPr>
          <w:i w:val="false"/>
          <w:i w:val="false"/>
          <w:iCs w:val="false"/>
        </w:rPr>
      </w:pPr>
      <w:r>
        <w:rPr>
          <w:i w:val="false"/>
          <w:iCs w:val="false"/>
        </w:rPr>
      </w:r>
    </w:p>
    <w:p>
      <w:pPr>
        <w:pStyle w:val="Normal"/>
        <w:spacing w:before="0" w:after="0"/>
        <w:ind w:left="720" w:hanging="0"/>
        <w:rPr>
          <w:i w:val="false"/>
          <w:i w:val="false"/>
          <w:iCs w:val="false"/>
        </w:rPr>
      </w:pPr>
      <w:r>
        <w:rPr>
          <w:b w:val="false"/>
          <w:bCs w:val="false"/>
          <w:i w:val="false"/>
          <w:iCs w:val="false"/>
        </w:rPr>
        <w:t>If Mexico &gt;= 1.5 MAF there is no deficiency or 8.25 mandate</w:t>
      </w:r>
    </w:p>
    <w:p>
      <w:pPr>
        <w:pStyle w:val="Normal"/>
        <w:spacing w:before="0" w:after="0"/>
        <w:ind w:left="0" w:hanging="0"/>
        <w:rPr>
          <w:i w:val="false"/>
          <w:i w:val="false"/>
          <w:iCs w:val="false"/>
        </w:rPr>
      </w:pPr>
      <w:r>
        <w:rPr>
          <w:i w:val="false"/>
          <w:iCs w:val="false"/>
        </w:rPr>
      </w:r>
    </w:p>
    <w:p>
      <w:pPr>
        <w:pStyle w:val="Normal"/>
        <w:spacing w:before="0" w:after="0"/>
        <w:ind w:left="0" w:hanging="0"/>
        <w:rPr>
          <w:i w:val="false"/>
          <w:i w:val="false"/>
          <w:iCs w:val="false"/>
        </w:rPr>
      </w:pPr>
      <w:r>
        <w:rPr>
          <w:i w:val="false"/>
          <w:iCs w:val="false"/>
        </w:rPr>
        <w:t>In a recent typical year CU might be:</w:t>
      </w:r>
    </w:p>
    <w:p>
      <w:pPr>
        <w:pStyle w:val="Normal"/>
        <w:spacing w:before="0" w:after="0"/>
        <w:ind w:left="0" w:hanging="0"/>
        <w:rPr>
          <w:i w:val="false"/>
          <w:i w:val="false"/>
          <w:iCs w:val="false"/>
        </w:rPr>
      </w:pPr>
      <w:r>
        <w:rPr>
          <w:i w:val="false"/>
          <w:iCs w:val="false"/>
        </w:rPr>
      </w:r>
    </w:p>
    <w:p>
      <w:pPr>
        <w:pStyle w:val="Normal"/>
        <w:spacing w:before="0" w:after="0"/>
        <w:ind w:left="720" w:hanging="0"/>
        <w:rPr>
          <w:i w:val="false"/>
          <w:i w:val="false"/>
          <w:iCs w:val="false"/>
        </w:rPr>
      </w:pPr>
      <w:r>
        <w:rPr>
          <w:i w:val="false"/>
          <w:iCs w:val="false"/>
        </w:rPr>
        <w:t>12 MAF = 7.5 Lower Basin(A) + 4.5 Upper Basin(A)</w:t>
      </w:r>
    </w:p>
    <w:p>
      <w:pPr>
        <w:pStyle w:val="Normal"/>
        <w:spacing w:before="0" w:after="0"/>
        <w:ind w:left="720" w:hanging="0"/>
        <w:rPr>
          <w:i w:val="false"/>
          <w:i w:val="false"/>
          <w:iCs w:val="false"/>
        </w:rPr>
      </w:pPr>
      <w:r>
        <w:rPr>
          <w:i w:val="false"/>
          <w:iCs w:val="false"/>
        </w:rPr>
      </w:r>
    </w:p>
    <w:p>
      <w:pPr>
        <w:pStyle w:val="Normal"/>
        <w:spacing w:before="0" w:after="0"/>
        <w:ind w:left="0" w:hanging="0"/>
        <w:rPr>
          <w:i w:val="false"/>
          <w:i w:val="false"/>
          <w:iCs w:val="false"/>
        </w:rPr>
      </w:pPr>
      <w:r>
        <w:rPr>
          <w:i w:val="false"/>
          <w:iCs w:val="false"/>
        </w:rPr>
        <w:t>If the Natural Flow is &gt; 13.5 we are not in a deficit.</w:t>
      </w:r>
    </w:p>
    <w:p>
      <w:pPr>
        <w:pStyle w:val="Normal"/>
        <w:spacing w:before="0" w:after="0"/>
        <w:ind w:left="0" w:hanging="0"/>
        <w:rPr>
          <w:i w:val="false"/>
          <w:i w:val="false"/>
          <w:iCs w:val="false"/>
        </w:rPr>
      </w:pPr>
      <w:r>
        <w:rPr>
          <w:i w:val="false"/>
          <w:iCs w:val="false"/>
        </w:rPr>
      </w:r>
    </w:p>
    <w:p>
      <w:pPr>
        <w:pStyle w:val="Normal"/>
        <w:spacing w:before="0" w:after="0"/>
        <w:rPr>
          <w:i w:val="false"/>
          <w:i w:val="false"/>
          <w:iCs w:val="false"/>
        </w:rPr>
      </w:pPr>
      <w:r>
        <w:rPr>
          <w:i w:val="false"/>
          <w:iCs w:val="false"/>
        </w:rPr>
        <w:t>Two problems:</w:t>
      </w:r>
    </w:p>
    <w:p>
      <w:pPr>
        <w:pStyle w:val="Normal"/>
        <w:numPr>
          <w:ilvl w:val="0"/>
          <w:numId w:val="5"/>
        </w:numPr>
        <w:spacing w:before="0" w:after="0"/>
        <w:rPr>
          <w:i w:val="false"/>
          <w:i w:val="false"/>
          <w:iCs w:val="false"/>
        </w:rPr>
      </w:pPr>
      <w:r>
        <w:rPr>
          <w:i w:val="false"/>
          <w:iCs w:val="false"/>
        </w:rPr>
        <w:t>Natural Flow and CU are hard to calculate and lag the calendar year accounting to determine deficiency</w:t>
      </w:r>
    </w:p>
    <w:p>
      <w:pPr>
        <w:pStyle w:val="Normal"/>
        <w:numPr>
          <w:ilvl w:val="0"/>
          <w:numId w:val="5"/>
        </w:numPr>
        <w:spacing w:before="0" w:after="0"/>
        <w:rPr>
          <w:i w:val="false"/>
          <w:i w:val="false"/>
          <w:iCs w:val="false"/>
        </w:rPr>
      </w:pPr>
      <w:r>
        <w:rPr>
          <w:i w:val="false"/>
          <w:iCs w:val="false"/>
        </w:rPr>
        <w:t>Two reservoirs in the middle really complicates this</w:t>
      </w:r>
    </w:p>
    <w:p>
      <w:pPr>
        <w:pStyle w:val="Normal"/>
        <w:spacing w:before="0" w:after="0"/>
        <w:rPr>
          <w:i w:val="false"/>
          <w:i w:val="false"/>
          <w:iCs w:val="false"/>
        </w:rPr>
      </w:pPr>
      <w:r>
        <w:rPr>
          <w:i w:val="false"/>
          <w:iCs w:val="false"/>
        </w:rPr>
      </w:r>
    </w:p>
    <w:p>
      <w:pPr>
        <w:pStyle w:val="Normal"/>
        <w:spacing w:before="0" w:after="0"/>
        <w:rPr>
          <w:i w:val="false"/>
          <w:i w:val="false"/>
          <w:iCs w:val="false"/>
        </w:rPr>
      </w:pPr>
      <w:r>
        <w:rPr>
          <w:i w:val="false"/>
          <w:iCs w:val="false"/>
        </w:rPr>
        <w:t>Table 2</w:t>
      </w:r>
    </w:p>
    <w:p>
      <w:pPr>
        <w:pStyle w:val="Normal"/>
        <w:spacing w:before="0" w:after="0"/>
        <w:rPr>
          <w:i w:val="false"/>
          <w:i w:val="false"/>
          <w:iCs w:val="false"/>
        </w:rPr>
      </w:pPr>
      <w:r>
        <w:rPr>
          <w:i w:val="false"/>
          <w:iCs w:val="false"/>
        </w:rPr>
        <w:t xml:space="preserve">The following spreadsheet should be treated as a straw man for the calculation we are looking for and are looking to build on to actually correctly compute the iii(c) deficit and obligation,  This is not validated data, much work is needed. </w:t>
      </w:r>
    </w:p>
    <w:p>
      <w:pPr>
        <w:pStyle w:val="Normal"/>
        <w:spacing w:before="0" w:after="0"/>
        <w:rPr>
          <w:i w:val="false"/>
          <w:i w:val="false"/>
          <w:iCs w:val="false"/>
        </w:rPr>
      </w:pPr>
      <w:r>
        <w:rPr>
          <w:i w:val="false"/>
          <w:iCs w:val="false"/>
        </w:rPr>
      </w:r>
      <w:r>
        <w:br w:type="page"/>
      </w:r>
    </w:p>
    <w:p>
      <w:pPr>
        <w:pStyle w:val="Normal"/>
        <w:spacing w:before="0" w:after="0"/>
        <w:rPr/>
      </w:pPr>
      <w:r>
        <w:rPr/>
      </w:r>
    </w:p>
    <w:p>
      <w:pPr>
        <w:pStyle w:val="Normal"/>
        <w:spacing w:before="0" w:after="0"/>
        <w:ind w:left="720" w:hanging="0"/>
        <w:rPr>
          <w:i w:val="false"/>
          <w:i w:val="false"/>
          <w:iCs w:val="false"/>
        </w:rPr>
      </w:pPr>
      <w:r>
        <w:rPr>
          <w:i w:val="false"/>
          <w:iCs w:val="false"/>
        </w:rPr>
      </w:r>
    </w:p>
    <w:p>
      <w:pPr>
        <w:pStyle w:val="Normal"/>
        <w:spacing w:before="0" w:after="0"/>
        <w:rPr>
          <w:b w:val="false"/>
          <w:b w:val="false"/>
          <w:bCs w:val="false"/>
        </w:rPr>
      </w:pPr>
      <w:r>
        <w:rPr>
          <w:b w:val="false"/>
          <w:bCs w:val="false"/>
        </w:rPr>
      </w:r>
    </w:p>
    <w:p>
      <w:pPr>
        <w:pStyle w:val="Normal"/>
        <w:spacing w:before="0" w:after="0"/>
        <w:rPr>
          <w:b w:val="false"/>
          <w:b w:val="false"/>
          <w:bCs w:val="false"/>
        </w:rPr>
      </w:pPr>
      <w:r>
        <w:rPr>
          <w:b w:val="false"/>
          <w:bCs w:val="false"/>
        </w:rPr>
        <w:object w:dxaOrig="7681" w:dyaOrig="19456">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position:absolute;margin-left:76.8pt;margin-top:-119.55pt;width:314.45pt;height:792pt;mso-wrap-distance-right:0pt;mso-position-horizontal-relative:text;mso-position-vertical-relative:text" filled="f" o:ole="">
            <v:imagedata r:id="rId9" o:title=""/>
            <w10:wrap type="square"/>
          </v:shape>
          <o:OLEObject Type="Embed" ProgID="Excel.Sheet.12" ShapeID="ole_rId8" DrawAspect="Content" ObjectID="_2025517838" r:id="rId8"/>
        </w:object>
      </w:r>
    </w:p>
    <w:p>
      <w:pPr>
        <w:pStyle w:val="Normal"/>
        <w:spacing w:before="0" w:after="0"/>
        <w:rPr>
          <w:b w:val="false"/>
          <w:b w:val="false"/>
          <w:bCs w:val="false"/>
        </w:rPr>
      </w:pPr>
      <w:r>
        <w:rPr>
          <w:b w:val="false"/>
          <w:bCs w:val="false"/>
        </w:rPr>
      </w:r>
      <w:r>
        <w:br w:type="page"/>
      </w:r>
    </w:p>
    <w:p>
      <w:pPr>
        <w:pStyle w:val="Normal"/>
        <w:spacing w:before="0" w:after="0"/>
        <w:rPr/>
      </w:pPr>
      <w:r>
        <w:rPr>
          <w:b w:val="false"/>
          <w:bCs w:val="false"/>
        </w:rPr>
        <w:t>If we are in deficit then:</w:t>
      </w:r>
    </w:p>
    <w:p>
      <w:pPr>
        <w:pStyle w:val="Normal"/>
        <w:spacing w:before="0" w:after="0"/>
        <w:ind w:left="720" w:hanging="0"/>
        <w:rPr>
          <w:i/>
          <w:i/>
          <w:iCs/>
        </w:rPr>
      </w:pPr>
      <w:r>
        <w:rPr>
          <w:b/>
          <w:bCs/>
          <w:i/>
          <w:iCs/>
        </w:rPr>
        <w:t>the burden of such deficiency shall be equally borne by the Upper Basin and the Lower Basin</w:t>
      </w:r>
    </w:p>
    <w:p>
      <w:pPr>
        <w:pStyle w:val="Normal"/>
        <w:spacing w:before="0" w:after="0"/>
        <w:ind w:hanging="0"/>
        <w:rPr>
          <w:b w:val="false"/>
          <w:b w:val="false"/>
          <w:bCs w:val="false"/>
          <w:i/>
          <w:i/>
          <w:iCs/>
        </w:rPr>
      </w:pPr>
      <w:r>
        <w:rPr>
          <w:b w:val="false"/>
          <w:bCs w:val="false"/>
          <w:i/>
          <w:iCs/>
        </w:rPr>
        <w:t>and:</w:t>
      </w:r>
    </w:p>
    <w:p>
      <w:pPr>
        <w:pStyle w:val="Normal"/>
        <w:spacing w:before="0" w:after="0"/>
        <w:ind w:left="720" w:hanging="0"/>
        <w:rPr>
          <w:b w:val="false"/>
          <w:b w:val="false"/>
          <w:bCs w:val="false"/>
          <w:i/>
          <w:i/>
          <w:iCs/>
        </w:rPr>
      </w:pPr>
      <w:r>
        <w:rPr>
          <w:b/>
          <w:bCs/>
          <w:i/>
          <w:iCs/>
        </w:rPr>
        <w:t>the Upper Division shall deliver at Lee Ferry water to supply one-half of the deficiency so recognized in addition to that provided in paragraph (d)</w:t>
      </w:r>
      <w:r>
        <w:rPr>
          <w:b w:val="false"/>
          <w:bCs w:val="false"/>
          <w:i/>
          <w:iCs/>
        </w:rPr>
        <w:t>.</w:t>
      </w:r>
    </w:p>
    <w:p>
      <w:pPr>
        <w:pStyle w:val="Normal"/>
        <w:spacing w:before="0" w:after="0"/>
        <w:ind w:left="720" w:hanging="0"/>
        <w:rPr>
          <w:b w:val="false"/>
          <w:b w:val="false"/>
          <w:bCs w:val="false"/>
          <w:i/>
          <w:i/>
          <w:iCs/>
        </w:rPr>
      </w:pPr>
      <w:r>
        <w:rPr>
          <w:b w:val="false"/>
          <w:bCs w:val="false"/>
          <w:i/>
          <w:iCs/>
        </w:rPr>
      </w:r>
    </w:p>
    <w:p>
      <w:pPr>
        <w:pStyle w:val="Normal"/>
        <w:spacing w:before="0" w:after="0"/>
        <w:ind w:hanging="0"/>
        <w:rPr/>
      </w:pPr>
      <w:r>
        <w:rPr>
          <w:b/>
          <w:bCs/>
        </w:rPr>
        <w:t>If the river is in a deficit the next key question is where does the Lower Basin’s half of the obligation come from:</w:t>
      </w:r>
    </w:p>
    <w:p>
      <w:pPr>
        <w:pStyle w:val="Normal"/>
        <w:spacing w:before="0" w:after="0"/>
        <w:rPr>
          <w:b/>
          <w:b/>
          <w:bCs/>
        </w:rPr>
      </w:pPr>
      <w:r>
        <w:rPr>
          <w:b/>
          <w:bCs/>
        </w:rPr>
      </w:r>
    </w:p>
    <w:p>
      <w:pPr>
        <w:pStyle w:val="Normal"/>
        <w:numPr>
          <w:ilvl w:val="0"/>
          <w:numId w:val="14"/>
        </w:numPr>
        <w:spacing w:before="0" w:after="0"/>
        <w:rPr>
          <w:b w:val="false"/>
          <w:b w:val="false"/>
          <w:bCs w:val="false"/>
        </w:rPr>
      </w:pPr>
      <w:r>
        <w:rPr>
          <w:b w:val="false"/>
          <w:bCs w:val="false"/>
        </w:rPr>
        <w:t>highly variable Grand Canyon tributaries which offsets Lake Mead evaporation</w:t>
      </w:r>
    </w:p>
    <w:p>
      <w:pPr>
        <w:pStyle w:val="Normal"/>
        <w:numPr>
          <w:ilvl w:val="0"/>
          <w:numId w:val="14"/>
        </w:numPr>
        <w:spacing w:before="0" w:after="0"/>
        <w:rPr>
          <w:b w:val="false"/>
          <w:b w:val="false"/>
          <w:bCs w:val="false"/>
        </w:rPr>
      </w:pPr>
      <w:r>
        <w:rPr>
          <w:b w:val="false"/>
          <w:bCs w:val="false"/>
        </w:rPr>
        <w:t>stored water in Lake Mead that came from unused 602 releases, equalization or balancing</w:t>
      </w:r>
    </w:p>
    <w:p>
      <w:pPr>
        <w:pStyle w:val="Normal"/>
        <w:numPr>
          <w:ilvl w:val="0"/>
          <w:numId w:val="14"/>
        </w:numPr>
        <w:spacing w:before="0" w:after="0"/>
        <w:rPr>
          <w:b w:val="false"/>
          <w:b w:val="false"/>
          <w:bCs w:val="false"/>
        </w:rPr>
      </w:pPr>
      <w:r>
        <w:rPr>
          <w:b w:val="false"/>
          <w:bCs w:val="false"/>
        </w:rPr>
        <w:t>conserved water from the Lower Basin’s 7.5 MAF entitlement(aka shortages)</w:t>
      </w:r>
    </w:p>
    <w:p>
      <w:pPr>
        <w:pStyle w:val="Normal"/>
        <w:numPr>
          <w:ilvl w:val="0"/>
          <w:numId w:val="14"/>
        </w:numPr>
        <w:spacing w:before="0" w:after="0"/>
        <w:rPr>
          <w:b w:val="false"/>
          <w:b w:val="false"/>
          <w:bCs w:val="false"/>
        </w:rPr>
      </w:pPr>
      <w:r>
        <w:rPr>
          <w:b w:val="false"/>
          <w:bCs w:val="false"/>
        </w:rPr>
        <w:t>Wellton-Mohawk toxic return flows which would have to be taken from Ciénega de Santa Clara and be desalinated.  Audubon and Mexico would oppose this.  This water was actually promised by Royce Tipton’s 1944 testimony.  He said Gila return flows will supply various percentages of the obligation, like half or more.  Yuma desalination tried and failed to deliver a little.</w:t>
      </w:r>
    </w:p>
    <w:p>
      <w:pPr>
        <w:pStyle w:val="Normal"/>
        <w:spacing w:before="0" w:after="0"/>
        <w:rPr>
          <w:i w:val="false"/>
          <w:i w:val="false"/>
          <w:iCs w:val="false"/>
        </w:rPr>
      </w:pPr>
      <w:r>
        <w:rPr>
          <w:i w:val="false"/>
          <w:iCs w:val="false"/>
        </w:rPr>
      </w:r>
    </w:p>
    <w:p>
      <w:pPr>
        <w:pStyle w:val="Normal"/>
        <w:spacing w:before="0" w:after="0"/>
        <w:rPr>
          <w:i w:val="false"/>
          <w:i w:val="false"/>
          <w:iCs w:val="false"/>
        </w:rPr>
      </w:pPr>
      <w:r>
        <w:rPr>
          <w:i w:val="false"/>
          <w:iCs w:val="false"/>
        </w:rPr>
        <w:t>Its key that this does not say the Upper Basin must deliver one-half of the deficiency each year,  if there is a big equalization or balancing release from Lake Powell then can that water in Lake Mead be used to cover multiple years of the Upper Basin III(c) obligation?</w:t>
      </w:r>
    </w:p>
    <w:p>
      <w:pPr>
        <w:pStyle w:val="Heading3"/>
        <w:rPr/>
      </w:pPr>
      <w:bookmarkStart w:id="6" w:name="__RefHeading___Toc765_3032948006"/>
      <w:bookmarkEnd w:id="6"/>
      <w:r>
        <w:rPr/>
        <w:t>Scenario 1 - Status Quo, 2007 Interim Guidelines</w:t>
      </w:r>
    </w:p>
    <w:p>
      <w:pPr>
        <w:pStyle w:val="Normal"/>
        <w:spacing w:before="0" w:after="0"/>
        <w:rPr/>
      </w:pPr>
      <w:r>
        <w:rPr/>
        <w:t>Arizona documented their position, the basis for litigation threats in 2007 in this paper and kind of what we got in the 2007 guidelines so its the status quo:</w:t>
      </w:r>
      <w:r>
        <w:rPr>
          <w:rStyle w:val="EndnoteAnchor"/>
        </w:rPr>
        <w:endnoteReference w:id="2"/>
      </w:r>
    </w:p>
    <w:p>
      <w:pPr>
        <w:pStyle w:val="Normal"/>
        <w:spacing w:before="0" w:after="0"/>
        <w:rPr/>
      </w:pPr>
      <w:r>
        <w:rPr/>
      </w:r>
    </w:p>
    <w:p>
      <w:pPr>
        <w:pStyle w:val="Normal"/>
        <w:spacing w:before="0" w:after="0"/>
        <w:ind w:left="720" w:hanging="0"/>
        <w:rPr/>
      </w:pPr>
      <w:hyperlink r:id="rId10">
        <w:r>
          <w:rPr>
            <w:rStyle w:val="InternetLink"/>
          </w:rPr>
          <w:t>From a Colorado River Compact Challenge to the Next Era of Cooperation Among Seven Basin States</w:t>
        </w:r>
      </w:hyperlink>
    </w:p>
    <w:p>
      <w:pPr>
        <w:pStyle w:val="Normal"/>
        <w:spacing w:before="0" w:after="0"/>
        <w:ind w:left="720" w:hanging="0"/>
        <w:rPr/>
      </w:pPr>
      <w:r>
        <w:rPr/>
        <w:t xml:space="preserve">49 Ariz. L. Rev. 217 (2007) </w:t>
      </w:r>
    </w:p>
    <w:p>
      <w:pPr>
        <w:pStyle w:val="Normal"/>
        <w:spacing w:before="0" w:after="0"/>
        <w:ind w:left="720" w:hanging="0"/>
        <w:rPr/>
      </w:pPr>
      <w:r>
        <w:rPr>
          <w:b w:val="false"/>
          <w:bCs w:val="false"/>
        </w:rPr>
        <w:t xml:space="preserve">W. Patrick Schiffer, Herbert R. Guenther &amp; Thomas G. Carr </w:t>
      </w:r>
    </w:p>
    <w:p>
      <w:pPr>
        <w:pStyle w:val="Normal"/>
        <w:spacing w:before="0" w:after="0"/>
        <w:ind w:left="720" w:hanging="0"/>
        <w:rPr>
          <w:b w:val="false"/>
          <w:b w:val="false"/>
          <w:bCs w:val="false"/>
        </w:rPr>
      </w:pPr>
      <w:r>
        <w:rPr>
          <w:b w:val="false"/>
          <w:bCs w:val="false"/>
        </w:rPr>
      </w:r>
    </w:p>
    <w:p>
      <w:pPr>
        <w:pStyle w:val="Normal"/>
        <w:spacing w:before="0" w:after="0"/>
        <w:ind w:left="0" w:hanging="0"/>
        <w:rPr/>
      </w:pPr>
      <w:r>
        <w:rPr>
          <w:b w:val="false"/>
          <w:bCs w:val="false"/>
        </w:rPr>
        <w:t>The Schiffer and Guenther paper (co-authored with Carr) argues that Article III(c) of the Colorado River Compact defines "surplus" as annual system-wide supply exceeding the 16 MAF aggregate apportionments in Articles III(a) and (b) (7.5 MAF each to Upper and Lower Basins). Any surplus over 16 MAF must first satisfy the 1.5 MAF Mexican Treaty obligation; if supply is deficient, the Upper and Lower Basins share the burden equally, with the Upper Basin delivering its half (0.75 MAF) at Lee Ferry plus evaporative/transit losses (totaling ~0.9 MAF Upper share). The authors reject the Upper Division States' view that Lower Basin usage exceeding 8.5 MAF constitutes "surplus" to be applied solely by the Lower Basin to Mexico, insisting instead on system-wide assessment to protect Arizona from undue shortages.</w:t>
        <w:br/>
        <w:br/>
        <w:t>On releases, the paper critiques the 8.23 MAF minimum objective release from Lake Powell as inadequate, excluding full losses and risking Lake Mead depletion that fails to meet ~9 MAF mainstream Lower Division needs (Lower apportionment plus Mexico). It proposes ~8.38 MAF in deficiency years (0.9 MAF Mexican share + 7.48 MAF Article III(d)) and up to 9.28 MAF in surplus years, prioritizing the Upper's Mexican share first under the Basin Project Act and LROC. An interim solution suggests variable 7-9 MAF releases to equalize reservoirs and avert crises, bridging toward long-term augmentation.</w:t>
      </w:r>
    </w:p>
    <w:p>
      <w:pPr>
        <w:pStyle w:val="Heading3"/>
        <w:rPr/>
      </w:pPr>
      <w:bookmarkStart w:id="7" w:name="__RefHeading___Toc769_3032948006"/>
      <w:bookmarkEnd w:id="7"/>
      <w:r>
        <w:rPr/>
        <w:t>Scenario 2 – Beneficial Consumptive Use Based</w:t>
      </w:r>
    </w:p>
    <w:p>
      <w:pPr>
        <w:pStyle w:val="Normal"/>
        <w:spacing w:before="0" w:after="0"/>
        <w:rPr/>
      </w:pPr>
      <w:r>
        <w:rPr/>
        <w:br/>
        <w:t xml:space="preserve">Core Upper Basin Argument: </w:t>
      </w:r>
      <w:r>
        <w:rPr>
          <w:b/>
          <w:bCs/>
        </w:rPr>
        <w:t>The Compact Apportions Beneficial Consumptive Use, Not Raw Flow — So “Surplus” Is Defined Relative to Actual Apportioned Uses, Not a Hypothetical 16 MAF System Supply Number</w:t>
      </w:r>
    </w:p>
    <w:p>
      <w:pPr>
        <w:pStyle w:val="Normal"/>
        <w:spacing w:before="0" w:after="0"/>
        <w:rPr/>
      </w:pPr>
      <w:r>
        <w:rPr/>
      </w:r>
    </w:p>
    <w:p>
      <w:pPr>
        <w:pStyle w:val="Normal"/>
        <w:numPr>
          <w:ilvl w:val="0"/>
          <w:numId w:val="7"/>
        </w:numPr>
        <w:spacing w:before="0" w:after="0"/>
        <w:rPr/>
      </w:pPr>
      <w:r>
        <w:rPr/>
        <w:t>The Compact is about beneficial consumptive use, not total virgin flow or system supply Article III(a)–(b) apportion “beneficial consumptive use” (the key phrase repeated throughout the Compact). Article III(c) expressly ties the surplus calculation to “the aggregate of the quantities specified in paragraphs (a) and (b)” — i.e., the apportioned beneficial consumptive uses (Upper 7.5 + Lower 8.5 = 16 MAF). If the Lower Basin is already consuming &gt;8.5 MAF (mainstem + tributaries + evaporation/ losses charged to it), then any water it is using beyond its apportionment is, by definition, surplus that Article III(c) says must first go to Mexico. There is no “deficiency” until the Lower Basin has reduced its use to its apportioned 8.5 MAF. → This directly refutes the paper’s claim that Lower Basin use is “irrelevant.” The Compact itself makes actual use relevant.</w:t>
      </w:r>
    </w:p>
    <w:p>
      <w:pPr>
        <w:pStyle w:val="Normal"/>
        <w:numPr>
          <w:ilvl w:val="0"/>
          <w:numId w:val="7"/>
        </w:numPr>
        <w:spacing w:before="0" w:after="0"/>
        <w:rPr/>
      </w:pPr>
      <w:r>
        <w:rPr/>
        <w:t xml:space="preserve"> </w:t>
      </w:r>
      <w:r>
        <w:rPr/>
        <w:t>Lower Basin has been using 10–11+ MAF for decades (including tributaries) In the years the paper was written (and still today), Lower Basin consumptive use (Arizona, California, Nevada mainstem + Gila, Virgin, etc. tributaries + reservoir evaporation charged to Lower) routinely exceeds 10 MAF. That excess (≥1.5 MAF) is precisely the “surplus” III(c) requires to be applied to Mexico first. No deficiency exists; Upper Basin has no III(c) obligation beyond the III(d) non-depletion floor. The paper’s insistence on a pure “system supply &gt;16 MAF” test would mean the Lower Basin can overuse its apportionment indefinitely while still forcing the Upper Basin to deliver extra water for Mexico — an outcome the Compact negotiators never intended and that would violate the equitable division premise.</w:t>
      </w:r>
    </w:p>
    <w:p>
      <w:pPr>
        <w:pStyle w:val="Normal"/>
        <w:numPr>
          <w:ilvl w:val="0"/>
          <w:numId w:val="7"/>
        </w:numPr>
        <w:spacing w:before="0" w:after="0"/>
        <w:rPr/>
      </w:pPr>
      <w:r>
        <w:rPr/>
        <w:t>The extra 1 MAF in III(b) was always understood as coming from surplus Article III(b) gives the Lower Basin the right to increase its use by 1 MAF “in addition to” the base apportionment. Negotiators (and later Upper Basin witnesses in 1948 Upper Compact hearings and 1960s CAP debates) treated that extra 1 MAF as the Lower Basin’s share of expected long-term surplus. If the Lower Basin is already taking that (and more), it cannot simultaneously claim there is no surplus for Mexico.</w:t>
      </w:r>
    </w:p>
    <w:p>
      <w:pPr>
        <w:pStyle w:val="Normal"/>
        <w:numPr>
          <w:ilvl w:val="0"/>
          <w:numId w:val="7"/>
        </w:numPr>
        <w:spacing w:before="0" w:after="0"/>
        <w:rPr/>
      </w:pPr>
      <w:r>
        <w:rPr/>
        <w:t>Tributaries and losses reinforce the point Lower Basin tributaries (especially the Gila) are part of the “Colorado River System” (Art. II(a)) and count toward Lower Basin use for purposes of determining surplus/deficiency. Upper Basin deliveries at Lee Ferry do not have to compensate for Lower Basin channel losses/evaporation — those are borne by the Lower Basin from its own apportionment (the Lee Ferry delivery point was chosen for exactly this reason).</w:t>
      </w:r>
    </w:p>
    <w:p>
      <w:pPr>
        <w:pStyle w:val="Normal"/>
        <w:numPr>
          <w:ilvl w:val="0"/>
          <w:numId w:val="7"/>
        </w:numPr>
        <w:spacing w:before="0" w:after="0"/>
        <w:rPr/>
      </w:pPr>
      <w:r>
        <w:rPr/>
        <w:t>Historical practice and the 8.23 MAF minimum objective release Since the 1970s, Reclamation has operated Glen Canyon Dam to a minimum objective release of ~8.23 MAF (≈7.5 III(d) + a small buffer, but not the full 0.75–0.9 MAF III(c) share the paper demands). Upper Basin states have never accepted the Lower Basin’s 8.25 MAF (or higher) figure as legally required under III(c), and they have never been forced to litigate it because their position has effectively prevailed in operations. The paper’s interpretation would retroactively declare decades of operations illegal.</w:t>
      </w:r>
    </w:p>
    <w:p>
      <w:pPr>
        <w:pStyle w:val="Normal"/>
        <w:spacing w:before="0" w:after="0"/>
        <w:rPr/>
      </w:pPr>
      <w:r>
        <w:rPr/>
        <w:br/>
        <w:t>In short, the Upper Basin’s best refutation is that the Schiffer-Guenther paper reads Article III(c) in isolation and ignores the Compact’s overarching framework of beneficial consumptive use apportionments. Once you measure “surplus” against actual basin uses (as the Compact requires), the Lower Basin’s longstanding overuse of its own apportionment supplies all the “surplus” needed for Mexico. There is no deficiency, and the Upper Basin has no additional delivery obligation under III(c).</w:t>
      </w:r>
    </w:p>
    <w:p>
      <w:pPr>
        <w:pStyle w:val="Normal"/>
        <w:spacing w:before="0" w:after="0"/>
        <w:rPr/>
      </w:pPr>
      <w:r>
        <w:rPr/>
        <w:br/>
        <w:t>This is why the issue has never been conclusively litigated — both sides have strong textual and historical arguments, but the Upper Basin view protects its ability to develop while holding the Lower Basin accountable for its own overuse. The 2007 Interim Guidelines and subsequent agreements deliberately punted the legal question in favor of operational compromise, but the underlying interpretive disagreement remains exactly as it was in 2004–2007.</w:t>
      </w:r>
    </w:p>
    <w:p>
      <w:pPr>
        <w:pStyle w:val="Heading3"/>
        <w:rPr/>
      </w:pPr>
      <w:bookmarkStart w:id="8" w:name="__RefHeading___Toc771_3032948006"/>
      <w:bookmarkEnd w:id="8"/>
      <w:r>
        <w:rPr/>
        <w:t>Scenario 3 – Supply Based</w:t>
      </w:r>
    </w:p>
    <w:p>
      <w:pPr>
        <w:pStyle w:val="Normal"/>
        <w:spacing w:before="0" w:after="0"/>
        <w:rPr/>
      </w:pPr>
      <w:r>
        <w:rPr/>
        <w:t xml:space="preserve">Core Upper Basin Argument: </w:t>
      </w:r>
      <w:r>
        <w:rPr>
          <w:b/>
          <w:bCs/>
        </w:rPr>
        <w:t>The “surplus” water to satisfy Mexico’s allocation under Article III(c) of the 1922 Colorado River Compact does not have to come through Lee’s Ferry each and every year. It can (and in practice does) draw from stored surplus in Lake Mead, including water delivered in big-release years like the 2011 equalization. So as long as there is extra water in Mead for III(c) does that mean there is no deficiency? If so 8.25 isn’t the basis for a call.</w:t>
      </w:r>
    </w:p>
    <w:p>
      <w:pPr>
        <w:pStyle w:val="Normal"/>
        <w:spacing w:before="0" w:after="0"/>
        <w:rPr/>
      </w:pPr>
      <w:r>
        <w:rPr/>
      </w:r>
    </w:p>
    <w:p>
      <w:pPr>
        <w:pStyle w:val="Normal"/>
        <w:numPr>
          <w:ilvl w:val="0"/>
          <w:numId w:val="14"/>
        </w:numPr>
        <w:spacing w:before="0" w:after="0"/>
        <w:rPr/>
      </w:pPr>
      <w:r>
        <w:rPr/>
        <w:t>The classic compact equation is paragraphs (a) + (b) = 16 MAF of apportioned consumptive use (7.5 MAF Upper + 7.5 MAF Lower + 1 MAF extra to Lower). It makes no sense today, Neither Upper basin use or entitlement are 7.5 MAF, III(b) water does not exist.</w:t>
      </w:r>
    </w:p>
    <w:p>
      <w:pPr>
        <w:pStyle w:val="Normal"/>
        <w:numPr>
          <w:ilvl w:val="0"/>
          <w:numId w:val="14"/>
        </w:numPr>
        <w:spacing w:before="0" w:after="0"/>
        <w:rPr/>
      </w:pPr>
      <w:r>
        <w:rPr/>
        <w:t>Today’s apportioned consumptive use  equation is either this:</w:t>
      </w:r>
    </w:p>
    <w:p>
      <w:pPr>
        <w:pStyle w:val="Normal"/>
        <w:numPr>
          <w:ilvl w:val="0"/>
          <w:numId w:val="0"/>
        </w:numPr>
        <w:spacing w:before="0" w:after="0"/>
        <w:ind w:left="227" w:hanging="0"/>
        <w:rPr/>
      </w:pPr>
      <w:r>
        <w:rPr/>
      </w:r>
    </w:p>
    <w:p>
      <w:pPr>
        <w:pStyle w:val="Normal"/>
        <w:numPr>
          <w:ilvl w:val="0"/>
          <w:numId w:val="0"/>
        </w:numPr>
        <w:spacing w:before="0" w:after="0"/>
        <w:ind w:left="454" w:hanging="0"/>
        <w:rPr/>
      </w:pPr>
      <w:r>
        <w:rPr/>
        <w:t>7.5 MAF Lower + 1 MAF extra to Lower = 8.5 MAF</w:t>
      </w:r>
    </w:p>
    <w:p>
      <w:pPr>
        <w:pStyle w:val="Normal"/>
        <w:spacing w:before="0" w:after="0"/>
        <w:ind w:left="720" w:hanging="0"/>
        <w:rPr/>
      </w:pPr>
      <w:r>
        <w:rPr/>
        <w:t>or</w:t>
      </w:r>
    </w:p>
    <w:p>
      <w:pPr>
        <w:pStyle w:val="Normal"/>
        <w:numPr>
          <w:ilvl w:val="0"/>
          <w:numId w:val="0"/>
        </w:numPr>
        <w:spacing w:before="0" w:after="0"/>
        <w:ind w:left="454" w:hanging="0"/>
        <w:rPr/>
      </w:pPr>
      <w:r>
        <w:rPr/>
        <w:t>7.5 MAF Lower</w:t>
      </w:r>
    </w:p>
    <w:p>
      <w:pPr>
        <w:pStyle w:val="Normal"/>
        <w:numPr>
          <w:ilvl w:val="0"/>
          <w:numId w:val="0"/>
        </w:numPr>
        <w:spacing w:before="0" w:after="0"/>
        <w:ind w:left="454" w:hanging="0"/>
        <w:rPr/>
      </w:pPr>
      <w:r>
        <w:rPr/>
      </w:r>
    </w:p>
    <w:p>
      <w:pPr>
        <w:pStyle w:val="Normal"/>
        <w:numPr>
          <w:ilvl w:val="0"/>
          <w:numId w:val="14"/>
        </w:numPr>
        <w:spacing w:before="0" w:after="0"/>
        <w:rPr/>
      </w:pPr>
      <w:r>
        <w:rPr/>
        <w:t>Mexico’s 1.5 MAF (per the 1944 Treaty) comes first from any system-wide surplus above that 7.5 MAF or 8.5 MAF.</w:t>
      </w:r>
    </w:p>
    <w:p>
      <w:pPr>
        <w:pStyle w:val="Normal"/>
        <w:numPr>
          <w:ilvl w:val="0"/>
          <w:numId w:val="14"/>
        </w:numPr>
        <w:spacing w:before="0" w:after="0"/>
        <w:rPr/>
      </w:pPr>
      <w:r>
        <w:rPr/>
        <w:t>Only if that surplus is insufficient does a “deficiency” arise — and only then does the Compact explicitly require the Upper Division to deliver extra water at Lee’s Ferry (half the shortfall, on top of the 75 MAF/10-year minimum in III(d)).</w:t>
      </w:r>
    </w:p>
    <w:p>
      <w:pPr>
        <w:pStyle w:val="Normal"/>
        <w:numPr>
          <w:ilvl w:val="0"/>
          <w:numId w:val="14"/>
        </w:numPr>
        <w:spacing w:before="0" w:after="0"/>
        <w:rPr/>
      </w:pPr>
      <w:r>
        <w:rPr/>
        <w:t>1.5 MAF is the default Mexico obligation. It is currently a little lower thanks to shortages Mexico is taking to help the system</w:t>
      </w:r>
    </w:p>
    <w:p>
      <w:pPr>
        <w:pStyle w:val="Normal"/>
        <w:spacing w:before="0" w:after="0"/>
        <w:rPr/>
      </w:pPr>
      <w:r>
        <w:rPr/>
        <w:br/>
        <w:t>The Compact never says the surplus portion itself must pass Lee’s Ferry in the same year it is used for Mexico. Surplus is a system-wide concept — water in the Colorado River System not consumed by the apportioned uses in the two basins. Once water reaches the Lower Basin (whether via Lee’s Ferry that year, Lower Basin tributaries, or releases from storage), it can be part of the “surplus” pool.</w:t>
      </w:r>
    </w:p>
    <w:p>
      <w:pPr>
        <w:pStyle w:val="Normal"/>
        <w:spacing w:before="0" w:after="0"/>
        <w:rPr/>
      </w:pPr>
      <w:r>
        <w:rPr/>
        <w:br/>
        <w:t>In wet years or equalization operations (like 2011 when the two reservoirs were deliberately rebalanced), extra water is released from Powell → through Lee’s Ferry → into Lake Mead. That water becomes stored surplus in Mead.</w:t>
      </w:r>
    </w:p>
    <w:p>
      <w:pPr>
        <w:pStyle w:val="Normal"/>
        <w:spacing w:before="0" w:after="0"/>
        <w:rPr/>
      </w:pPr>
      <w:r>
        <w:rPr/>
        <w:br/>
        <w:t>In a later year, when natural inflows are lower and Lee’s Ferry releases are at or near the minimum objective (currently ~8.23 MAF/year under the Long-Range Operating Criteria, which already bakes in 0.75 MAF as the Upper Basin’s presumed share of Mexico), operators can still release water from Mead’s storage to meet Mexico’s full 1.5 MAF (and Lower Basin demands) without triggering a Compact “deficiency.” That stored water originated as surplus and was carried forward.</w:t>
      </w:r>
    </w:p>
    <w:p>
      <w:pPr>
        <w:pStyle w:val="Normal"/>
        <w:spacing w:before="0" w:after="0"/>
        <w:rPr/>
      </w:pPr>
      <w:r>
        <w:rPr/>
        <w:br/>
        <w:t>This is exactly how the system has functioned for decades: reservoirs (Powell + Mead) act as a multi-year buffer. The Compact’s surplus/deficiency test is not a strict annual accounting that ignores storage; it’s a broader recognition that the river is regulated by large reservoirs. If the basins could only use “this year’s” surplus through Lee’s Ferry, the entire storage-and-carryover regime that has kept Mexico whole since 1944 would be illegal — which it obviously isn’t.</w:t>
      </w:r>
    </w:p>
    <w:p>
      <w:pPr>
        <w:pStyle w:val="Normal"/>
        <w:spacing w:before="0" w:after="0"/>
        <w:rPr/>
      </w:pPr>
      <w:r>
        <w:rPr/>
        <w:br/>
      </w:r>
      <w:r>
        <w:rPr>
          <w:b/>
          <w:bCs/>
        </w:rPr>
        <w:t>Bottom line</w:t>
      </w:r>
    </w:p>
    <w:p>
      <w:pPr>
        <w:pStyle w:val="Normal"/>
        <w:numPr>
          <w:ilvl w:val="0"/>
          <w:numId w:val="14"/>
        </w:numPr>
        <w:spacing w:before="0" w:after="0"/>
        <w:rPr/>
      </w:pPr>
      <w:r>
        <w:rPr/>
        <w:t>Surplus water for Mexico → can be (and is) supplied from Lake Mead storage that accumulated in big years.</w:t>
      </w:r>
    </w:p>
    <w:p>
      <w:pPr>
        <w:pStyle w:val="Normal"/>
        <w:numPr>
          <w:ilvl w:val="0"/>
          <w:numId w:val="14"/>
        </w:numPr>
        <w:spacing w:before="0" w:after="0"/>
        <w:rPr/>
      </w:pPr>
      <w:r>
        <w:rPr/>
        <w:t>Deficiency share → triggers Lee’s Ferry delivery obligation from the Upper Basin.</w:t>
      </w:r>
    </w:p>
    <w:p>
      <w:pPr>
        <w:pStyle w:val="Normal"/>
        <w:numPr>
          <w:ilvl w:val="0"/>
          <w:numId w:val="14"/>
        </w:numPr>
        <w:spacing w:before="0" w:after="0"/>
        <w:rPr/>
      </w:pPr>
      <w:r>
        <w:rPr/>
        <w:t>The Compact draws a clear distinction between the two. The surplus clause does not contain a Lee’s Ferry requirement; only the deficiency clause does.</w:t>
      </w:r>
    </w:p>
    <w:p>
      <w:pPr>
        <w:pStyle w:val="Normal"/>
        <w:spacing w:before="0" w:after="0"/>
        <w:rPr/>
      </w:pPr>
      <w:r>
        <w:rPr/>
        <w:br/>
        <w:t>So yes — surplus stored in Mead from years like 2011 can satisfy Mexico without creating a deficiency that forces extra Upper Basin deliveries at Lee’s Ferry in a subsequent dry year. That’s how the “Law of the River” has always worked in practice.</w:t>
      </w:r>
      <w:r>
        <w:br w:type="page"/>
      </w:r>
    </w:p>
    <w:p>
      <w:pPr>
        <w:pStyle w:val="Heading2"/>
        <w:rPr/>
      </w:pPr>
      <w:bookmarkStart w:id="9" w:name="__RefHeading___Toc773_3032948006"/>
      <w:bookmarkEnd w:id="9"/>
      <w:r>
        <w:rPr/>
        <w:t>Article III(e) Interpretation</w:t>
      </w:r>
    </w:p>
    <w:p>
      <w:pPr>
        <w:pStyle w:val="Normal"/>
        <w:spacing w:before="0" w:after="0"/>
        <w:rPr/>
      </w:pPr>
      <w:r>
        <w:rPr>
          <w:b/>
          <w:bCs/>
        </w:rPr>
        <w:t>Objective</w:t>
      </w:r>
      <w:r>
        <w:rPr/>
        <w:t>: Counter Arizona's expansive interpretation of Article III(e) to restore balance</w:t>
      </w:r>
    </w:p>
    <w:p>
      <w:pPr>
        <w:pStyle w:val="Normal"/>
        <w:spacing w:before="0" w:after="0"/>
        <w:ind w:left="720" w:hanging="0"/>
        <w:rPr/>
      </w:pPr>
      <w:r>
        <w:rPr/>
        <w:br/>
        <w:t>“</w:t>
      </w:r>
      <w:r>
        <w:rPr>
          <w:i/>
          <w:iCs/>
        </w:rPr>
        <w:t>The States of the Upper Division shall not withhold water, and the States of the Lower Division shall not require the delivery of water, which cannot reasonably be applied to domestic and agricultural uses</w:t>
      </w:r>
      <w:r>
        <w:rPr/>
        <w:t>.”</w:t>
      </w:r>
    </w:p>
    <w:p>
      <w:pPr>
        <w:pStyle w:val="Normal"/>
        <w:spacing w:before="0" w:after="0"/>
        <w:rPr/>
      </w:pPr>
      <w:r>
        <w:rPr/>
        <w:br/>
        <w:t>This provision is deliberately symmetrical and conditional. The qualifying clause—“which cannot reasonably be applied to domestic and agricultural uses”—applies equally to both prohibitions. It does not create an unqualified duty for the Upper Basin to release water on demand, nor does it grant the Lower Basin an unrestricted right to call for deliveries. Instead, it imposes reciprocal restraints to prevent waste or unreasonable interference during the basins’ respective development phases.</w:t>
      </w:r>
    </w:p>
    <w:p>
      <w:pPr>
        <w:pStyle w:val="Normal"/>
        <w:spacing w:before="0" w:after="0"/>
        <w:rPr/>
      </w:pPr>
      <w:r>
        <w:rPr/>
        <w:br/>
        <w:t>During the 1922 negotiations (led by Herbert Hoover as federal representative), Upper Basin delegates (from Colorado, New Mexico, Utah, and Wyoming) expressed significant concern that Lower Basin states—particularly California, with its rapid development and access to storage at Hoover Dam (authorized later)—might use prior appropriation principles or storage infrastructure to make premature “calls” on water before Upper Basin states could fully develop their apportioned uses. The Upper Basin, where most runoff originates but infrastructure lagged, feared that such calls would impair their future consumptive uses.</w:t>
      </w:r>
    </w:p>
    <w:p>
      <w:pPr>
        <w:pStyle w:val="Normal"/>
        <w:spacing w:before="0" w:after="0"/>
        <w:rPr/>
      </w:pPr>
      <w:r>
        <w:rPr/>
        <w:br/>
        <w:t xml:space="preserve">Article III(e) emerged as a compromise to address this asymmetry: </w:t>
      </w:r>
    </w:p>
    <w:p>
      <w:pPr>
        <w:pStyle w:val="Normal"/>
        <w:numPr>
          <w:ilvl w:val="0"/>
          <w:numId w:val="14"/>
        </w:numPr>
        <w:spacing w:before="0" w:after="0"/>
        <w:rPr/>
      </w:pPr>
      <w:r>
        <w:rPr/>
        <w:t xml:space="preserve">It protected the Upper Basin by prohibiting Lower Basin demands for water that the Upper Basin could reasonably apply to its own domestic and agricultural needs (e.g., storing water in future reservoirs like Powell for later use). </w:t>
      </w:r>
    </w:p>
    <w:p>
      <w:pPr>
        <w:pStyle w:val="Normal"/>
        <w:numPr>
          <w:ilvl w:val="0"/>
          <w:numId w:val="14"/>
        </w:numPr>
        <w:spacing w:before="0" w:after="0"/>
        <w:rPr/>
      </w:pPr>
      <w:r>
        <w:rPr/>
        <w:t xml:space="preserve">Simultaneously, it restrained the Upper Basin from indefinitely hoarding water that served no beneficial purpose and could be used downstream. </w:t>
      </w:r>
    </w:p>
    <w:p>
      <w:pPr>
        <w:pStyle w:val="Normal"/>
        <w:numPr>
          <w:ilvl w:val="0"/>
          <w:numId w:val="14"/>
        </w:numPr>
        <w:spacing w:before="0" w:after="0"/>
        <w:rPr/>
      </w:pPr>
      <w:r>
        <w:rPr/>
        <w:t>The clause was not intended as a broad delivery obligation or equity-forcing mechanism but as a pragmatic “safety valve” to promote interstate comity, avoid waste, and facilitate development without one basin unduly hindering the other.</w:t>
      </w:r>
    </w:p>
    <w:p>
      <w:pPr>
        <w:pStyle w:val="Normal"/>
        <w:spacing w:before="0" w:after="0"/>
        <w:rPr/>
      </w:pPr>
      <w:r>
        <w:rPr/>
        <w:br/>
        <w:t>This intent is reflected in the Compact’s preamble, which emphasizes equitable division, protection from floods, and expeditious agricultural/industrial development. The provision’s narrow focus—limited to “domestic and agricultural uses” (excluding power generation or other purposes)—further underscores its restraint-oriented design rather than an expansive release requirement.</w:t>
      </w:r>
    </w:p>
    <w:p>
      <w:pPr>
        <w:pStyle w:val="Normal"/>
        <w:spacing w:before="0" w:after="0"/>
        <w:rPr/>
      </w:pPr>
      <w:r>
        <w:rPr/>
        <w:br/>
        <w:t xml:space="preserve">Subsequent legislation and operations reinforce this interpretation: </w:t>
      </w:r>
    </w:p>
    <w:p>
      <w:pPr>
        <w:pStyle w:val="Normal"/>
        <w:numPr>
          <w:ilvl w:val="0"/>
          <w:numId w:val="14"/>
        </w:numPr>
        <w:spacing w:before="0" w:after="0"/>
        <w:rPr/>
      </w:pPr>
      <w:r>
        <w:rPr/>
        <w:t xml:space="preserve">The Colorado River Basin Project Act of 1968 (Section 602(a)) explicitly conditions releases from Lake Powell for Lower Basin beneficial use under III(e) on specific criteria, such as Powell storage exceeding Mead storage and no impairment of Upper Basin consumptive uses. This subordinates III(e) to the Compact’s core apportionments (III(a), (b), (d)) and protects Upper Basin development. </w:t>
      </w:r>
    </w:p>
    <w:p>
      <w:pPr>
        <w:pStyle w:val="Normal"/>
        <w:numPr>
          <w:ilvl w:val="0"/>
          <w:numId w:val="14"/>
        </w:numPr>
        <w:spacing w:before="0" w:after="0"/>
        <w:rPr/>
      </w:pPr>
      <w:r>
        <w:rPr/>
        <w:t xml:space="preserve">Long-Range Operating Criteria and post-2007 guidelines incorporate III(e) in a limited, conditional manner, consistent with its reciprocal nature. </w:t>
      </w:r>
    </w:p>
    <w:p>
      <w:pPr>
        <w:pStyle w:val="Normal"/>
        <w:numPr>
          <w:ilvl w:val="0"/>
          <w:numId w:val="14"/>
        </w:numPr>
        <w:spacing w:before="0" w:after="0"/>
        <w:rPr/>
      </w:pPr>
      <w:r>
        <w:rPr/>
        <w:t>Upper Basin analyses (e.g., from the Upper Colorado River Commission, experts like Eric Kuhn, and historical reviews) consistently frame III(e) as a safeguard for Upper Basin growth, not a tool to compel releases that could shift disproportionate burdens (e.g, for the Mexican Treaty under III(c)).</w:t>
      </w:r>
    </w:p>
    <w:p>
      <w:pPr>
        <w:pStyle w:val="Normal"/>
        <w:spacing w:before="0" w:after="0"/>
        <w:rPr/>
      </w:pPr>
      <w:r>
        <w:rPr/>
        <w:br/>
        <w:t>In Upper Basin rebuttals, attempts to expand III(e) beyond this narrow, mutual framework—such as using it to mandate releases for Mexican Treaty deficiencies or to prioritize Lower Basin access to stored water—are viewed as contrary to the negotiated balance. The provision was crafted to preserve each basin’s exclusive beneficial consumptive use (per III(a)) while preventing abuse, not to override volumetric obligations or create new priorities.</w:t>
      </w:r>
    </w:p>
    <w:p>
      <w:pPr>
        <w:pStyle w:val="Normal"/>
        <w:spacing w:before="0" w:after="0"/>
        <w:rPr/>
      </w:pPr>
      <w:r>
        <w:rPr/>
        <w:br/>
        <w:t>The Schiffer-Guenther paper’s emphasis on Upper Basin non-withholding as a broad duty to release usable water is seen as reading the clause one-sidedly, ignoring its symmetry and the Compact’s overall grant of “exclusive beneficial consumptive use” to each basin under Article III(a).</w:t>
      </w:r>
    </w:p>
    <w:p>
      <w:pPr>
        <w:pStyle w:val="Normal"/>
        <w:spacing w:before="0" w:after="0"/>
        <w:rPr/>
      </w:pPr>
      <w:r>
        <w:rPr/>
        <w:br/>
        <w:t xml:space="preserve">The Schiffer paper links III(e) to mandatory Upper Basin releases to meet half the Mexican obligation in deficiency years, arguing that withholding would cause unjustified Lower Basin shortages. Upper Basin rebuttal: </w:t>
      </w:r>
    </w:p>
    <w:p>
      <w:pPr>
        <w:pStyle w:val="Normal"/>
        <w:numPr>
          <w:ilvl w:val="0"/>
          <w:numId w:val="14"/>
        </w:numPr>
        <w:spacing w:before="0" w:after="0"/>
        <w:rPr/>
      </w:pPr>
      <w:r>
        <w:rPr/>
        <w:t xml:space="preserve">Article III(c) already contains the precise sharing rule (first from surplus; then equal burden; Upper delivers half-deficiency at Lee Ferry “whenever necessary” in addition to III(d)). III(e) adds no extra obligation. </w:t>
      </w:r>
    </w:p>
    <w:p>
      <w:pPr>
        <w:pStyle w:val="Normal"/>
        <w:numPr>
          <w:ilvl w:val="0"/>
          <w:numId w:val="14"/>
        </w:numPr>
        <w:spacing w:before="0" w:after="0"/>
        <w:rPr/>
      </w:pPr>
      <w:r>
        <w:rPr/>
        <w:t xml:space="preserve">Upper Basin’s preferred reading of “surplus” in III(c) is basin-specific: if the Lower Basin is already using &gt;8.5 maf (its III(a)+(b) apportionment, including tributaries per Upper Basic view), that excess is the surplus first applied to Mexico, relieving Upper Basin of deficiency sharing. </w:t>
      </w:r>
    </w:p>
    <w:p>
      <w:pPr>
        <w:pStyle w:val="Normal"/>
        <w:numPr>
          <w:ilvl w:val="0"/>
          <w:numId w:val="14"/>
        </w:numPr>
        <w:spacing w:before="0" w:after="0"/>
        <w:rPr/>
      </w:pPr>
      <w:r>
        <w:rPr/>
        <w:t xml:space="preserve">Forcing additional releases under III(e) to cover Mexico would impair Upper Basin’s own future uses, violating the “without impairment of annual consumptive uses in the upper basin” language in CRBPA §602(a)(3). </w:t>
      </w:r>
    </w:p>
    <w:p>
      <w:pPr>
        <w:pStyle w:val="Normal"/>
        <w:spacing w:before="0" w:after="0"/>
        <w:rPr/>
      </w:pPr>
      <w:r>
        <w:rPr/>
      </w:r>
    </w:p>
    <w:p>
      <w:pPr>
        <w:pStyle w:val="Normal"/>
        <w:spacing w:before="0" w:after="0"/>
        <w:rPr/>
      </w:pPr>
      <w:r>
        <w:rPr/>
        <w:t xml:space="preserve">This is the exact position the Upper Division Governors’ Representatives took in their </w:t>
      </w:r>
      <w:hyperlink r:id="rId11">
        <w:r>
          <w:rPr>
            <w:rStyle w:val="InternetLink"/>
          </w:rPr>
          <w:t>2004 letter</w:t>
        </w:r>
      </w:hyperlink>
      <w:r>
        <w:rPr/>
        <w:t xml:space="preserve"> (the trigger for the Schiffer paper) and that Upper Basin entities have reiterated in post-2007 Guidelines, Drought Contingency Plan, and post-2026 negotiations.</w:t>
      </w:r>
    </w:p>
    <w:p>
      <w:pPr>
        <w:pStyle w:val="Normal"/>
        <w:spacing w:before="0" w:after="0"/>
        <w:rPr/>
      </w:pPr>
      <w:r>
        <w:rPr/>
      </w:r>
    </w:p>
    <w:p>
      <w:pPr>
        <w:pStyle w:val="Normal"/>
        <w:rPr>
          <w:b/>
          <w:b/>
          <w:bCs/>
        </w:rPr>
      </w:pPr>
      <w:r>
        <w:rPr>
          <w:b/>
          <w:bCs/>
        </w:rPr>
        <w:t xml:space="preserve">It is a near certainty that Loer Basin, especially Arizona’s, taking delivery of water from reservoirs in the 90’s, and probably continuing today, for long term storage in its aquifers and contributing to the current crisis in Lake Powell is a direct and unambiguous violation of Article III(e). </w:t>
      </w:r>
      <w:r>
        <w:rPr>
          <w:b/>
          <w:bCs/>
        </w:rPr>
        <w:t>The recent State of Colorado EIS Letter:</w:t>
      </w:r>
      <w:r>
        <w:rPr>
          <w:rStyle w:val="EndnoteAnchor"/>
          <w:b/>
          <w:bCs/>
        </w:rPr>
        <w:endnoteReference w:id="3"/>
      </w:r>
    </w:p>
    <w:p>
      <w:pPr>
        <w:pStyle w:val="Normal"/>
        <w:rPr>
          <w:b/>
          <w:b/>
          <w:bCs/>
        </w:rPr>
      </w:pPr>
      <w:r>
        <w:rPr/>
      </w:r>
    </w:p>
    <w:p>
      <w:pPr>
        <w:pStyle w:val="Normal"/>
        <w:ind w:left="720" w:hanging="0"/>
        <w:rPr>
          <w:i/>
          <w:i/>
          <w:iCs/>
        </w:rPr>
      </w:pPr>
      <w:r>
        <w:rPr>
          <w:i/>
          <w:iCs/>
        </w:rPr>
        <w:t>Underground water storage in Arizona is another critical component of available water supply in the Lower Basin that is disregarded in the DEIS. The most recent Arizona Department of Water Resources data available through 2022 indicates that Arizona’s five original aquifer management areas hold a net total management balance of 12.24 maf of Colorado River water available for recovery in the subsurface.⁴⁷</w:t>
      </w:r>
    </w:p>
    <w:p>
      <w:pPr>
        <w:pStyle w:val="Normal"/>
        <w:ind w:left="720" w:hanging="0"/>
        <w:rPr>
          <w:i/>
          <w:i/>
          <w:iCs/>
        </w:rPr>
      </w:pPr>
      <w:r>
        <w:rPr>
          <w:i/>
          <w:iCs/>
        </w:rPr>
        <w:t>Furthermore, the updated CU&amp;L data Reclamation released does not account for the water delivered by the Central Arizona Project (“CAP”) to underground storage that is not consumed in the current year. Colorado estimates that CAP has directly delivered approximately 3.3 maf between 2006–2022 to underground recharge that does not appear in Reclamation’s accounting. This obscures the timing and potential magnitude of depletions to the Colorado River System by deferring accounting for consumptive use until stored groundwater is withdrawn. Such withdrawals could occur decades later, if at all. Colorado reiterates the UCRCC’s request that Reclamation correct this flaw in the CU&amp;L methodology.⁴⁸</w:t>
      </w:r>
    </w:p>
    <w:p>
      <w:pPr>
        <w:pStyle w:val="Normal"/>
        <w:ind w:left="720" w:hanging="0"/>
        <w:rPr>
          <w:i/>
          <w:i/>
          <w:iCs/>
        </w:rPr>
      </w:pPr>
      <w:r>
        <w:rPr>
          <w:i/>
          <w:iCs/>
        </w:rPr>
        <w:t>Moreover, this water was withdrawn from the Colorado River mainstream, is a part of the Colorado River System, is stored in the Lower Basin, and is intended to supply Lower Basin users. In fact, it appears Arizona’s underground storage of Colorado River water as of 2022 holds more than one-and-a-half times the current contents in Lake Mead as of 2026.⁴⁹ Any FEIS that fails to consider stored Colorado River water in the Lower Basin aquifer system creates a significant discrepancy in Reclamation’s analysis.</w:t>
      </w:r>
    </w:p>
    <w:p>
      <w:pPr>
        <w:pStyle w:val="Normal"/>
        <w:rPr>
          <w:b/>
          <w:b/>
          <w:bCs/>
        </w:rPr>
      </w:pPr>
      <w:r>
        <w:rPr/>
      </w:r>
    </w:p>
    <w:p>
      <w:pPr>
        <w:pStyle w:val="Normal"/>
        <w:rPr>
          <w:b w:val="false"/>
          <w:b w:val="false"/>
          <w:bCs w:val="false"/>
        </w:rPr>
      </w:pPr>
      <w:r>
        <w:rPr>
          <w:b w:val="false"/>
          <w:bCs w:val="false"/>
        </w:rPr>
        <w:t>This data needs verification before use in decision making</w:t>
      </w:r>
    </w:p>
    <w:p>
      <w:pPr>
        <w:pStyle w:val="Normal"/>
        <w:rPr>
          <w:b w:val="false"/>
          <w:b w:val="false"/>
          <w:bCs w:val="false"/>
        </w:rPr>
      </w:pPr>
      <w:r>
        <w:rPr>
          <w:b w:val="false"/>
          <w:bCs w:val="false"/>
        </w:rPr>
        <w:t>The documented transfers of Colorado River water into aquifers by Lower Basin states for long-term storage remain as previously outlined, with the primary mechanisms being</w:t>
      </w:r>
    </w:p>
    <w:p>
      <w:pPr>
        <w:pStyle w:val="Normal"/>
        <w:numPr>
          <w:ilvl w:val="0"/>
          <w:numId w:val="3"/>
        </w:numPr>
        <w:rPr/>
      </w:pPr>
      <w:r>
        <w:rPr>
          <w:b w:val="false"/>
          <w:bCs w:val="false"/>
        </w:rPr>
        <w:t xml:space="preserve">Arizona’s Arizona Water Banking Authority (AWBA) program (intrastate and interstate for Nevada), </w:t>
      </w:r>
    </w:p>
    <w:p>
      <w:pPr>
        <w:pStyle w:val="Normal"/>
        <w:numPr>
          <w:ilvl w:val="0"/>
          <w:numId w:val="3"/>
        </w:numPr>
        <w:rPr/>
      </w:pPr>
      <w:r>
        <w:rPr>
          <w:b w:val="false"/>
          <w:bCs w:val="false"/>
        </w:rPr>
        <w:t xml:space="preserve">Nevada’s local and interstate banking (primarily in Arizona and California aquifers), and </w:t>
      </w:r>
    </w:p>
    <w:p>
      <w:pPr>
        <w:pStyle w:val="Normal"/>
        <w:numPr>
          <w:ilvl w:val="0"/>
          <w:numId w:val="3"/>
        </w:numPr>
        <w:rPr/>
      </w:pPr>
      <w:r>
        <w:rPr>
          <w:b w:val="false"/>
          <w:bCs w:val="false"/>
        </w:rPr>
        <w:t>California’s more limited conjunctive use/replenishment (primarily via Coachella Valley Water District [CVWD] and Metropolitan Water District [MWD] interstate for Nevada).</w:t>
      </w:r>
    </w:p>
    <w:p>
      <w:pPr>
        <w:pStyle w:val="Normal"/>
        <w:rPr/>
      </w:pPr>
      <w:r>
        <w:rPr>
          <w:b w:val="false"/>
          <w:bCs w:val="false"/>
        </w:rPr>
        <w:br/>
        <w:t>Comprehensive year-by-year volumes of new physical transfers (recharge or in-lieu substitution leading to long-term storage credits [LTSCs] or equivalent) are not uniformly published in a single aggregated table across all programs, as recent years have seen minimal new direct storage due to drought, shortage declarations, and a shift toward purchases of existing credits, Intentionally Created Surplus (ICS) firming, and in-reservoir conservation. Cumulative totals are well-documented through USBR accounting reports and state sources, with interstate banking stable at approximately</w:t>
      </w:r>
    </w:p>
    <w:p>
      <w:pPr>
        <w:pStyle w:val="Normal"/>
        <w:numPr>
          <w:ilvl w:val="0"/>
          <w:numId w:val="3"/>
        </w:numPr>
        <w:rPr/>
      </w:pPr>
      <w:r>
        <w:rPr>
          <w:b w:val="false"/>
          <w:bCs w:val="false"/>
        </w:rPr>
        <w:t>944,071 AF for Nevada’s benefit (613,846 AF in Arizona via AWBA; 330,225 AF in California via MWD) as of the end of calendar years 2023 and 2024 (no net change reported in recent USBR reports due to lack of new storage or recoveries offsetting additions).</w:t>
      </w:r>
    </w:p>
    <w:p>
      <w:pPr>
        <w:pStyle w:val="Normal"/>
        <w:rPr/>
      </w:pPr>
      <w:r>
        <w:rPr>
          <w:b w:val="false"/>
          <w:bCs w:val="false"/>
        </w:rPr>
        <w:t>Arizona (AWBA LTSCs from Colorado River/CAP Water)</w:t>
        <w:br/>
        <w:t>The AWBA is the dominant program for dedicated long-term aquifer storage of Colorado River water. New accrual has been limited since around 2014–2015 due to reduced excess CAP water availability; recent activity focuses on LTSC purchases or ICS-related firming rather than direct recharge of new volumes.</w:t>
      </w:r>
    </w:p>
    <w:p>
      <w:pPr>
        <w:pStyle w:val="Normal"/>
        <w:numPr>
          <w:ilvl w:val="0"/>
          <w:numId w:val="3"/>
        </w:numPr>
        <w:rPr/>
      </w:pPr>
      <w:r>
        <w:rPr>
          <w:b w:val="false"/>
          <w:bCs w:val="false"/>
        </w:rPr>
        <w:t>Cumulative LTSCs through 2019: Approximately</w:t>
      </w:r>
      <w:r>
        <w:rPr>
          <w:b/>
          <w:bCs/>
        </w:rPr>
        <w:t xml:space="preserve"> 4.28 million AF</w:t>
      </w:r>
      <w:r>
        <w:rPr>
          <w:b w:val="false"/>
          <w:bCs w:val="false"/>
        </w:rPr>
        <w:t xml:space="preserve"> (3.67 million AF intrastate for Arizona; ~614,000 AF interstate for Nevada).</w:t>
      </w:r>
    </w:p>
    <w:p>
      <w:pPr>
        <w:pStyle w:val="Normal"/>
        <w:numPr>
          <w:ilvl w:val="0"/>
          <w:numId w:val="3"/>
        </w:numPr>
        <w:rPr/>
      </w:pPr>
      <w:r>
        <w:rPr>
          <w:b w:val="false"/>
          <w:bCs w:val="false"/>
        </w:rPr>
        <w:t xml:space="preserve">Cumulative through ~2023: </w:t>
      </w:r>
      <w:r>
        <w:rPr>
          <w:b/>
          <w:bCs/>
        </w:rPr>
        <w:t>~4.39 million AF</w:t>
      </w:r>
      <w:r>
        <w:rPr>
          <w:b w:val="false"/>
          <w:bCs w:val="false"/>
        </w:rPr>
        <w:t xml:space="preserve"> (intrastate ~3.78 million AF; interstate 613,846 AF).</w:t>
      </w:r>
    </w:p>
    <w:p>
      <w:pPr>
        <w:pStyle w:val="Normal"/>
        <w:numPr>
          <w:ilvl w:val="0"/>
          <w:numId w:val="3"/>
        </w:numPr>
        <w:rPr/>
      </w:pPr>
      <w:r>
        <w:rPr>
          <w:b w:val="false"/>
          <w:bCs w:val="false"/>
        </w:rPr>
        <w:t xml:space="preserve">Cumulative through 2024: </w:t>
      </w:r>
      <w:r>
        <w:rPr>
          <w:b/>
          <w:bCs/>
        </w:rPr>
        <w:t xml:space="preserve">4.41 million AF </w:t>
      </w:r>
      <w:r>
        <w:rPr>
          <w:b w:val="false"/>
          <w:bCs w:val="false"/>
        </w:rPr>
        <w:t>(intrastate ~3.80 million AF; interstate 613,846 AF unchanged).</w:t>
      </w:r>
    </w:p>
    <w:p>
      <w:pPr>
        <w:pStyle w:val="Normal"/>
        <w:rPr/>
      </w:pPr>
      <w:r>
        <w:rPr>
          <w:b w:val="false"/>
          <w:bCs w:val="false"/>
        </w:rPr>
        <w:t>Annual new accruals (from direct storage) were significant in earlier years (e.g., tens to hundreds of thousands AF in the 2000s–early 2010s) but have been near zero in recent years without purchases. For example:</w:t>
      </w:r>
    </w:p>
    <w:p>
      <w:pPr>
        <w:pStyle w:val="Normal"/>
        <w:numPr>
          <w:ilvl w:val="0"/>
          <w:numId w:val="3"/>
        </w:numPr>
        <w:rPr/>
      </w:pPr>
      <w:r>
        <w:rPr>
          <w:b w:val="false"/>
          <w:bCs w:val="false"/>
        </w:rPr>
        <w:t>2016: ~65,708 AF delivered for storage (example year with activity).</w:t>
      </w:r>
    </w:p>
    <w:p>
      <w:pPr>
        <w:pStyle w:val="Normal"/>
        <w:numPr>
          <w:ilvl w:val="0"/>
          <w:numId w:val="3"/>
        </w:numPr>
        <w:rPr/>
      </w:pPr>
      <w:r>
        <w:rPr>
          <w:b w:val="false"/>
          <w:bCs w:val="false"/>
        </w:rPr>
        <w:t>Post-2019: Minimal to no new direct recharge reported; reliance on purchases (e.g., 1,327 AF LTSCs purchased in Tucson AMA in 2023). No detailed annual series of new accruals is aggregated publicly beyond cumulatives in AWBA annual reports and USBR Decree Reports.</w:t>
        <w:br/>
        <w:t>Nevada (SNWA Banking)\</w:t>
      </w:r>
    </w:p>
    <w:p>
      <w:pPr>
        <w:pStyle w:val="Normal"/>
        <w:numPr>
          <w:ilvl w:val="0"/>
          <w:numId w:val="3"/>
        </w:numPr>
        <w:rPr/>
      </w:pPr>
      <w:r>
        <w:rPr>
          <w:b w:val="false"/>
          <w:bCs w:val="false"/>
        </w:rPr>
        <w:t>Local Southern Nevada Water Bank (Las Vegas Valley aquifer): Cumulative ~342,000 AF through 2024 (via direct injection or in-lieu; no significant annual breakdown reported recently).</w:t>
      </w:r>
    </w:p>
    <w:p>
      <w:pPr>
        <w:pStyle w:val="Normal"/>
        <w:numPr>
          <w:ilvl w:val="0"/>
          <w:numId w:val="3"/>
        </w:numPr>
        <w:rPr/>
      </w:pPr>
      <w:r>
        <w:rPr>
          <w:b w:val="false"/>
          <w:bCs w:val="false"/>
        </w:rPr>
        <w:t>Interstate (stored in other states’ aquifers): Cumulative ~944,071 AF through 2024 (unchanged from prior years; 613,846 AF in Arizona, 330,225 AF in California; no new additions reported in 2023–2024 USBR reports).</w:t>
        <w:br/>
        <w:t>Annual new interstate storage was active in earlier periods (e.g., additions through 2018–2019) but has been negligible recently.</w:t>
        <w:br/>
        <w:t>California</w:t>
      </w:r>
    </w:p>
    <w:p>
      <w:pPr>
        <w:pStyle w:val="Normal"/>
        <w:numPr>
          <w:ilvl w:val="0"/>
          <w:numId w:val="3"/>
        </w:numPr>
        <w:rPr/>
      </w:pPr>
      <w:r>
        <w:rPr>
          <w:b w:val="false"/>
          <w:bCs w:val="false"/>
        </w:rPr>
        <w:t>MWD interstate for SNWA: Cumulative 330,225 AF stored in California aquifers through 2024 (no new storage in recent years; stable balance).</w:t>
      </w:r>
    </w:p>
    <w:p>
      <w:pPr>
        <w:pStyle w:val="Normal"/>
        <w:numPr>
          <w:ilvl w:val="0"/>
          <w:numId w:val="3"/>
        </w:numPr>
        <w:rPr/>
      </w:pPr>
      <w:r>
        <w:rPr>
          <w:b w:val="false"/>
          <w:bCs w:val="false"/>
        </w:rPr>
        <w:t>CVWD conjunctive use/replenishment (Coachella Valley aquifers, including Colorado River sources via CRA exchanges): Cumulative over ~4.37 million AF from 1973–2023 across facilities (mix of SWP and Colorado River; ~4.14 million AF to Whitewater River facility alone). Recent annual replenishment (including Colorado River portions):</w:t>
      </w:r>
    </w:p>
    <w:p>
      <w:pPr>
        <w:pStyle w:val="Normal"/>
        <w:numPr>
          <w:ilvl w:val="0"/>
          <w:numId w:val="3"/>
        </w:numPr>
        <w:rPr/>
      </w:pPr>
      <w:r>
        <w:rPr>
          <w:b w:val="false"/>
          <w:bCs w:val="false"/>
        </w:rPr>
        <w:t>2023: ~320,962 AF total artificial replenishment (significant portion Colorado River-related).</w:t>
      </w:r>
    </w:p>
    <w:p>
      <w:pPr>
        <w:pStyle w:val="Normal"/>
        <w:numPr>
          <w:ilvl w:val="0"/>
          <w:numId w:val="3"/>
        </w:numPr>
        <w:rPr/>
      </w:pPr>
      <w:r>
        <w:rPr>
          <w:b w:val="false"/>
          <w:bCs w:val="false"/>
        </w:rPr>
        <w:t>2023–2024 water year: ~296,726 AF imported/local surface water recharged in Indio Subbasin (with managed recharge reduced in some facilities due to voluntary Colorado River conservation).</w:t>
      </w:r>
    </w:p>
    <w:p>
      <w:pPr>
        <w:pStyle w:val="Normal"/>
        <w:numPr>
          <w:ilvl w:val="0"/>
          <w:numId w:val="3"/>
        </w:numPr>
        <w:rPr/>
      </w:pPr>
      <w:r>
        <w:rPr>
          <w:b w:val="false"/>
          <w:bCs w:val="false"/>
        </w:rPr>
        <w:t>Earlier periods: Over 2 million AF in first 35 years (1973–~2008); ongoing but variable with availability. These are not structured as formal LTSCs but support long-term aquifer storage offsetting pumping.</w:t>
      </w:r>
    </w:p>
    <w:p>
      <w:pPr>
        <w:pStyle w:val="Heading3"/>
        <w:rPr/>
      </w:pPr>
      <w:bookmarkStart w:id="10" w:name="__RefHeading___Toc5795_4147804815"/>
      <w:bookmarkEnd w:id="10"/>
      <w:r>
        <w:rPr/>
        <w:br/>
        <w:t>Lower Basin Aquifer Storage Summary</w:t>
      </w:r>
    </w:p>
    <w:p>
      <w:pPr>
        <w:pStyle w:val="Normal"/>
        <w:numPr>
          <w:ilvl w:val="0"/>
          <w:numId w:val="3"/>
        </w:numPr>
        <w:rPr/>
      </w:pPr>
      <w:r>
        <w:rPr>
          <w:b w:val="false"/>
          <w:bCs w:val="false"/>
        </w:rPr>
        <w:t>Grand cumulative aquifer storage of Colorado River water (all programs, approximate end-2024):</w:t>
      </w:r>
      <w:r>
        <w:rPr>
          <w:b/>
          <w:bCs/>
        </w:rPr>
        <w:t xml:space="preserve"> &gt;9 million AF (AWBA ~4.41 million AF + CVWD &gt;4 million AF + SNWA local ~0.34 million AF </w:t>
      </w:r>
      <w:r>
        <w:rPr>
          <w:b w:val="false"/>
          <w:bCs w:val="false"/>
        </w:rPr>
        <w:t>+ other minor; with overlaps in interstate credits not double-counted as new transfers).</w:t>
      </w:r>
    </w:p>
    <w:p>
      <w:pPr>
        <w:pStyle w:val="Normal"/>
        <w:numPr>
          <w:ilvl w:val="0"/>
          <w:numId w:val="3"/>
        </w:numPr>
        <w:rPr/>
      </w:pPr>
      <w:r>
        <w:rPr>
          <w:b w:val="false"/>
          <w:bCs w:val="false"/>
        </w:rPr>
        <w:t xml:space="preserve">Interstate for Nevada benefit (stable benchmark): </w:t>
      </w:r>
      <w:r>
        <w:rPr>
          <w:b/>
          <w:bCs/>
        </w:rPr>
        <w:t>944,071 AF.</w:t>
      </w:r>
    </w:p>
    <w:p>
      <w:pPr>
        <w:pStyle w:val="Normal"/>
        <w:numPr>
          <w:ilvl w:val="0"/>
          <w:numId w:val="3"/>
        </w:numPr>
        <w:rPr/>
      </w:pPr>
      <w:r>
        <w:rPr>
          <w:b w:val="false"/>
          <w:bCs w:val="false"/>
        </w:rPr>
        <w:t>Due to the shift from new physical storage to credit purchases, conservation, and ICS, no comprehensive annual additions table exists for recent years.</w:t>
      </w:r>
    </w:p>
    <w:p>
      <w:pPr>
        <w:pStyle w:val="Heading2"/>
        <w:rPr>
          <w:b/>
          <w:b/>
          <w:bCs/>
        </w:rPr>
      </w:pPr>
      <w:bookmarkStart w:id="11" w:name="__RefHeading___Toc5831_4147804815"/>
      <w:bookmarkEnd w:id="11"/>
      <w:r>
        <w:rPr/>
        <w:t>Canonical Legal Arguments Related to Operational Questions</w:t>
      </w:r>
    </w:p>
    <w:p>
      <w:pPr>
        <w:pStyle w:val="Normal"/>
        <w:rPr>
          <w:b/>
          <w:b/>
          <w:bCs/>
        </w:rPr>
      </w:pPr>
      <w:r>
        <w:rPr/>
        <w:t>Hopefully you didn’t make it this far.  We are hoping the Seven States don’t either.  The following are fairly canonical Upper Basin arguments you may see in event of a Lower Basin Compact Call or litigation.  We don’t want to go here, but we will if we have to.  School yard bully rule applies.  In that event we will apply additional resources to develop these and apply some of our unconventional wisdom to strengthen them.</w:t>
      </w:r>
    </w:p>
    <w:p>
      <w:pPr>
        <w:pStyle w:val="Normal"/>
        <w:rPr>
          <w:b/>
          <w:b/>
          <w:bCs/>
        </w:rPr>
      </w:pPr>
      <w:r>
        <w:rPr/>
        <w:t>These will obviously have direct impact impact on USBR operation of the system if these events occur so are relevant to the EIS process.</w:t>
      </w:r>
    </w:p>
    <w:p>
      <w:pPr>
        <w:pStyle w:val="Heading3"/>
        <w:rPr/>
      </w:pPr>
      <w:bookmarkStart w:id="12" w:name="__RefHeading___Toc6516_4147804815"/>
      <w:bookmarkEnd w:id="12"/>
      <w:r>
        <w:rPr/>
        <w:t>Article III(d)</w:t>
      </w:r>
    </w:p>
    <w:p>
      <w:pPr>
        <w:pStyle w:val="Normal"/>
        <w:rPr>
          <w:rFonts w:ascii="Liberation Sans" w:hAnsi="Liberation Sans"/>
        </w:rPr>
      </w:pPr>
      <w:r>
        <w:rPr>
          <w:rFonts w:ascii="Liberation Sans" w:hAnsi="Liberation Sans"/>
          <w:color w:val="000000"/>
          <w:shd w:fill="auto" w:val="clear"/>
        </w:rPr>
        <w:t>The canonical Upper Basin position on the core dispute in the Colorado River Compact of 1922 (particularly Article III(d)) centers on interpreting the Upper Division states' (Colorado, New Mexico, Utah, Wyoming) obligation as a "non-depletion" duty rather than a strict delivery guarantee to the Lower Basin (Arizona, California, Nevada).Article III(d) states: the Upper Division states "will not cause the flow of the river at Lee Ferry to be depleted below an aggregate of 75,000,000 acre-feet for any period of ten consecutive years." The Upper Basin interprets this literally as a prohibition on their own actions causing depletion—meaning they must not consume (deplete) more than their share in a way that drops the 10-year rolling flow at Lee Ferry (just below Glen Canyon Dam) below 75 million acre-feet (MAF), averaging 7.5 MAF/year.Key elements of the Upper Basin view:</w:t>
      </w:r>
    </w:p>
    <w:p>
      <w:pPr>
        <w:pStyle w:val="Normal"/>
        <w:numPr>
          <w:ilvl w:val="0"/>
          <w:numId w:val="4"/>
        </w:numPr>
        <w:rPr/>
      </w:pPr>
      <w:r>
        <w:rPr>
          <w:rFonts w:ascii="Liberation Sans" w:hAnsi="Liberation Sans"/>
          <w:color w:val="000000"/>
          <w:shd w:fill="auto" w:val="clear"/>
        </w:rPr>
        <w:t>No absolute delivery obligation — They are not required to guarantee or "deliver" 7.5 MAF annually (or 75 MAF/10 years) to the Lower Basin regardless of natural conditions. If low runoff from climate change, drought, or aridity reduces natural flows, the Upper Basin is not at fault and should not face forced cuts solely to meet a fixed delivery target.</w:t>
      </w:r>
    </w:p>
    <w:p>
      <w:pPr>
        <w:pStyle w:val="Normal"/>
        <w:numPr>
          <w:ilvl w:val="0"/>
          <w:numId w:val="4"/>
        </w:numPr>
        <w:rPr/>
      </w:pPr>
      <w:r>
        <w:rPr>
          <w:rFonts w:ascii="Liberation Sans" w:hAnsi="Liberation Sans"/>
          <w:color w:val="000000"/>
          <w:shd w:fill="auto" w:val="clear"/>
        </w:rPr>
        <w:t>Consumptive use cap — Their primary limit is their own beneficial consumptive use (up to 7.5 MAF/year basin-wide under Article III(a)), plus their share of U.S. treaty water to Mexico if no surplus exists (Article III(c)). They argue they have never fully used their 7.5 MAF allocation (often ~4–5 MAF in recent decades), so any shortfall at Lee Ferry stems from reduced supply, not overuse.</w:t>
      </w:r>
    </w:p>
    <w:p>
      <w:pPr>
        <w:pStyle w:val="Normal"/>
        <w:numPr>
          <w:ilvl w:val="0"/>
          <w:numId w:val="4"/>
        </w:numPr>
        <w:rPr/>
      </w:pPr>
      <w:r>
        <w:rPr>
          <w:rFonts w:ascii="Liberation Sans" w:hAnsi="Liberation Sans"/>
          <w:color w:val="000000"/>
          <w:shd w:fill="auto" w:val="clear"/>
        </w:rPr>
        <w:t>Climate change as force majeure — Depletion caused by natural variability or long-term aridification (not human depletions in the Upper Basin) does not trigger a Compact violation or "call" requiring Upper Basin curtailments. This protects upstream development rights, as the Compact was designed to allow Upper Basin growth without being penalized by prior Lower Basin claims.</w:t>
      </w:r>
    </w:p>
    <w:p>
      <w:pPr>
        <w:pStyle w:val="Normal"/>
        <w:numPr>
          <w:ilvl w:val="0"/>
          <w:numId w:val="4"/>
        </w:numPr>
        <w:rPr/>
      </w:pPr>
      <w:r>
        <w:rPr>
          <w:rFonts w:ascii="Liberation Sans" w:hAnsi="Liberation Sans"/>
          <w:color w:val="000000"/>
          <w:shd w:fill="auto" w:val="clear"/>
        </w:rPr>
        <w:t>Contrast with Lower Basin view — Lower Basin states read III(d) as imposing a firm delivery requirement (strict liability for 75 MAF/10 years at Lee Ferry, potentially including half of Mexico's share under operating criteria), enforceable via litigation if flows fall short.</w:t>
      </w:r>
    </w:p>
    <w:p>
      <w:pPr>
        <w:pStyle w:val="TextBody"/>
        <w:spacing w:before="0" w:after="0"/>
        <w:rPr>
          <w:rFonts w:ascii="Liberation Sans" w:hAnsi="Liberation Sans"/>
          <w:color w:val="000000"/>
          <w:shd w:fill="auto" w:val="clear"/>
        </w:rPr>
      </w:pPr>
      <w:r>
        <w:rPr>
          <w:rFonts w:ascii="Liberation Sans" w:hAnsi="Liberation Sans"/>
          <w:color w:val="000000"/>
          <w:shd w:fill="auto" w:val="clear"/>
        </w:rPr>
        <w:t>This interpretation aligns with the Compact's 1922 context: Upper Basin delegates feared Lower Basin storage projects (like Hoover Dam) could establish prior rights before upstream states developed, so they insisted on "non-depletion" language to safeguard future use. The Upper Basin Compact (1948) reinforces this by allocating percentages of available water after meeting Compact obligations, without mandating fixed deliveries. In modern negotiations (post-2026 guidelines), this stance emphasizes shared basin-wide responsibility for shortages driven by climate, not unilateral Upper Basin cuts, while rejecting litigation threats of a "Compact call."</w:t>
      </w:r>
    </w:p>
    <w:p>
      <w:pPr>
        <w:pStyle w:val="Normal"/>
        <w:rPr>
          <w:rFonts w:ascii="Liberation Sans" w:hAnsi="Liberation Sans"/>
        </w:rPr>
      </w:pPr>
      <w:r>
        <w:rPr>
          <w:rFonts w:ascii="Liberation Sans" w:hAnsi="Liberation Sans"/>
        </w:rPr>
      </w:r>
    </w:p>
    <w:p>
      <w:pPr>
        <w:pStyle w:val="Heading3"/>
        <w:rPr>
          <w:b/>
          <w:b/>
          <w:bCs/>
        </w:rPr>
      </w:pPr>
      <w:bookmarkStart w:id="13" w:name="__RefHeading___Toc5773_4147804815"/>
      <w:bookmarkEnd w:id="13"/>
      <w:r>
        <w:rPr/>
        <w:t>Article III(b)</w:t>
      </w:r>
    </w:p>
    <w:p>
      <w:pPr>
        <w:pStyle w:val="Normal"/>
        <w:rPr/>
      </w:pPr>
      <w:r>
        <w:rPr>
          <w:rFonts w:ascii="Liberation Sans" w:hAnsi="Liberation Sans"/>
        </w:rPr>
        <w:t>In 1922, Arizona’s compact commissioner W.S. Norviel asked that 1 MAF be set aside in Article III(b) to cover the natural flow of the Gila River at the confluence with the Colorado. The Gila is a wasting river so that is inherently much less than their actual Consumptive Use, they’ve used it to extinction since the 1870’s.  His rationale was even if Arizona wasn’t use the Gila’s water only 1 MAF would reach the confluence. The rest would disappear into aquifers and evaporation.</w:t>
      </w:r>
    </w:p>
    <w:p>
      <w:pPr>
        <w:pStyle w:val="Normal"/>
        <w:rPr/>
      </w:pPr>
      <w:r>
        <w:rPr>
          <w:rFonts w:ascii="Liberation Sans" w:hAnsi="Liberation Sans"/>
        </w:rPr>
        <w:t>After his ask the minutes stop and don’t cover what did happen, it wasn’t Norviel’s ask. It ended up being just an additional 1 MAF split between Arizona and California when there was surplus water.  California took it all before CAP came on line, exceeding their 4.4 MAF limitation and diverting 5 to 5.5 MAF.</w:t>
      </w:r>
    </w:p>
    <w:p>
      <w:pPr>
        <w:pStyle w:val="Normal"/>
        <w:rPr/>
      </w:pPr>
      <w:r>
        <w:rPr>
          <w:rFonts w:ascii="Liberation Sans" w:hAnsi="Liberation Sans"/>
        </w:rPr>
        <w:t>Eric Kuhn’s assertion is that in 1922 everyone knew the Upper Basin wouldn’t be able to develop more than 6.1-6.5MAF so they had a bubble in their entitlement at 7.5 MAF that was of concern to the Lower Basin.  The solution was to give the Lower Basin an extra 1 MAF to offset it, which is how III(b) worked until the 2003 QSA when their was no more surplus and California was forced back under their 4.4 limitation,.</w:t>
      </w:r>
    </w:p>
    <w:p>
      <w:pPr>
        <w:pStyle w:val="Normal"/>
        <w:rPr/>
      </w:pPr>
      <w:r>
        <w:rPr>
          <w:rFonts w:ascii="Liberation Sans" w:hAnsi="Liberation Sans"/>
        </w:rPr>
        <w:t>With 20/20 hindsight it would’ve been better to cut the Upper Basin entitlement to 6.5 MAF but they thought they had a big river then. If the Compact is reopened for amendments in the coming tumult, amendment is a hard process, consideration should be given to removing III(b) and cutting the Upper Basin entitlement to 6.5 MAF. It removes any chance of future Lower Basin use of the surplus water and doesn’t really matter to the Upper Basin. They will never develop 7.5 MAF. It would eliminate a constant source of confusion and friction.  The compact would be simpler.</w:t>
      </w:r>
    </w:p>
    <w:p>
      <w:pPr>
        <w:pStyle w:val="Normal"/>
        <w:rPr/>
      </w:pPr>
      <w:r>
        <w:rPr>
          <w:rFonts w:ascii="Liberation Sans" w:hAnsi="Liberation Sans"/>
        </w:rPr>
        <w:t>Another possible amendment is to do Norviel’s ask and use III(b) to cover the Gila natural flow at the confluence. The Gila is a problem. Article III(d)</w:t>
      </w:r>
    </w:p>
    <w:p>
      <w:pPr>
        <w:pStyle w:val="Normal"/>
        <w:rPr>
          <w:rFonts w:ascii="Liberation Sans" w:hAnsi="Liberation Sans"/>
        </w:rPr>
      </w:pPr>
      <w:r>
        <w:rPr>
          <w:rFonts w:ascii="Liberation Sans" w:hAnsi="Liberation Sans"/>
          <w:color w:val="000000"/>
          <w:shd w:fill="auto" w:val="clear"/>
        </w:rPr>
        <w:t>The canonical Upper Basin position on the core dispute in the Colorado River Compact of 1922 (particularly Article III(d)) centers on interpreting the Upper Division states' (Colorado, New Mexico, Utah, Wyoming) obligation as a "non-depletion" duty rather than a strict delivery guarantee to the Lower Basin (Arizona, California, Nevada).Article III(d) states: the Upper Division states "will not cause the flow of the river at Lee Ferry to be depleted below an aggregate of 75,000,000 acre-feet for any period of ten consecutive years." The Upper Basin interprets this literally as a prohibition on their own actions causing depletion—meaning they must not consume (deplete) more than their share in a way that drops the 10-year rolling flow at Lee Ferry (just below Glen Canyon Dam) below 75 million acre-feet (MAF), averaging 7.5 MAF/year.Key elements of the Upper Basin view:</w:t>
      </w:r>
    </w:p>
    <w:p>
      <w:pPr>
        <w:pStyle w:val="Normal"/>
        <w:numPr>
          <w:ilvl w:val="0"/>
          <w:numId w:val="6"/>
        </w:numPr>
        <w:rPr/>
      </w:pPr>
      <w:r>
        <w:rPr>
          <w:rFonts w:ascii="Liberation Sans" w:hAnsi="Liberation Sans"/>
          <w:color w:val="000000"/>
          <w:shd w:fill="auto" w:val="clear"/>
        </w:rPr>
        <w:t>No absolute delivery obligation — They are not required to guarantee or "deliver" 7.5 MAF annually (or 75 MAF/10 years) to the Lower Basin regardless of natural conditions. If low runoff from climate change, drought, or aridity reduces natural flows, the Upper Basin is not at fault and should not face forced cuts solely to meet a fixed delivery target.</w:t>
      </w:r>
    </w:p>
    <w:p>
      <w:pPr>
        <w:pStyle w:val="Normal"/>
        <w:numPr>
          <w:ilvl w:val="0"/>
          <w:numId w:val="6"/>
        </w:numPr>
        <w:rPr/>
      </w:pPr>
      <w:r>
        <w:rPr>
          <w:rFonts w:ascii="Liberation Sans" w:hAnsi="Liberation Sans"/>
          <w:color w:val="000000"/>
          <w:shd w:fill="auto" w:val="clear"/>
        </w:rPr>
        <w:t>Consumptive use cap — Their primary limit is their own beneficial consumptive use (up to 7.5 MAF/year basin-wide under Article III(a)), plus their share of U.S. treaty water to Mexico if no surplus exists (Article III(c)). They argue they have never fully used their 7.5 MAF allocation (often ~4–5 MAF in recent decades), so any shortfall at Lee Ferry stems from reduced supply, not overuse.</w:t>
      </w:r>
    </w:p>
    <w:p>
      <w:pPr>
        <w:pStyle w:val="Normal"/>
        <w:numPr>
          <w:ilvl w:val="0"/>
          <w:numId w:val="6"/>
        </w:numPr>
        <w:rPr/>
      </w:pPr>
      <w:r>
        <w:rPr>
          <w:rFonts w:ascii="Liberation Sans" w:hAnsi="Liberation Sans"/>
          <w:color w:val="000000"/>
          <w:shd w:fill="auto" w:val="clear"/>
        </w:rPr>
        <w:t>Climate change as force majeure — Depletion caused by natural variability or long-term aridification (not human depletions in the Upper Basin) does not trigger a Compact violation or "call" requiring Upper Basin curtailments. This protects upstream development rights, as the Compact was designed to allow Upper Basin growth without being penalized by prior Lower Basin claims.</w:t>
      </w:r>
    </w:p>
    <w:p>
      <w:pPr>
        <w:pStyle w:val="Normal"/>
        <w:numPr>
          <w:ilvl w:val="0"/>
          <w:numId w:val="6"/>
        </w:numPr>
        <w:rPr/>
      </w:pPr>
      <w:r>
        <w:rPr>
          <w:rFonts w:ascii="Liberation Sans" w:hAnsi="Liberation Sans"/>
          <w:color w:val="000000"/>
          <w:shd w:fill="auto" w:val="clear"/>
        </w:rPr>
        <w:t>Contrast with Lower Basin view — Lower Basin states read III(d) as imposing a firm delivery requirement (strict liability for 75 MAF/10 years at Lee Ferry, potentially including half of Mexico's share under operating criteria), enforceable via litigation if flows fall short.</w:t>
      </w:r>
    </w:p>
    <w:p>
      <w:pPr>
        <w:pStyle w:val="TextBody"/>
        <w:spacing w:before="0" w:after="0"/>
        <w:rPr>
          <w:rFonts w:ascii="Liberation Sans" w:hAnsi="Liberation Sans"/>
          <w:color w:val="000000"/>
          <w:shd w:fill="auto" w:val="clear"/>
        </w:rPr>
      </w:pPr>
      <w:r>
        <w:rPr>
          <w:rFonts w:ascii="Liberation Sans" w:hAnsi="Liberation Sans"/>
          <w:color w:val="000000"/>
          <w:shd w:fill="auto" w:val="clear"/>
        </w:rPr>
        <w:t>This interpretation aligns with the Compact's 1922 context: Upper Basin delegates feared Lower Basin storage projects (like Hoover Dam) could establish prior rights before upstream states developed, so they insisted on "non-depletion" language to safeguard future use. The Upper Basin Compact (1948) reinforces this by allocating percentages of available water after meeting Compact obligations, without mandating fixed deliveries. In modern negotiations (post-2026 guidelines), this stance emphasizes shared basin-wide responsibility for shortages driven by climate, not unilateral Upper Basin cuts, while rejecting litigation threats of a "Compact call."</w:t>
      </w:r>
    </w:p>
    <w:p>
      <w:pPr>
        <w:pStyle w:val="Heading3"/>
        <w:rPr/>
      </w:pPr>
      <w:bookmarkStart w:id="14" w:name="__RefHeading___Toc2842_3032948006"/>
      <w:bookmarkEnd w:id="14"/>
      <w:r>
        <w:rPr/>
        <w:t>Gila River</w:t>
      </w:r>
    </w:p>
    <w:p>
      <w:pPr>
        <w:pStyle w:val="Normal"/>
        <w:rPr>
          <w:rFonts w:ascii="Liberation Sans" w:hAnsi="Liberation Sans"/>
        </w:rPr>
      </w:pPr>
      <w:r>
        <w:rPr>
          <w:rFonts w:ascii="Liberation Sans" w:hAnsi="Liberation Sans"/>
          <w:color w:val="000000"/>
          <w:shd w:fill="auto" w:val="clear"/>
        </w:rPr>
        <w:t>The canonical Upper Basin position on the exclusion ("removal") of the Gila River from Colorado River Compact accounting, as affirmed in the 1963 Arizona v. California Supreme Court decision, is that the ruling's scope is limited to interpreting the Boulder Canyon Project Act (BCPA) and mainstream apportionments among Lower Basin states (Arizona: 2.8 MAF, California: 4.4 MAF, Nevada: 0.3 MAF from the 7.5 MAF mainstream allocation).   This is the Statutory construction case Mark Wilmer used to win Arizona v California.  Colorado and Wyoming were not party to this case, they refused California to join.  It was a Lower Basin case so it is doubtful it applies to them.</w:t>
      </w:r>
    </w:p>
    <w:p>
      <w:pPr>
        <w:pStyle w:val="Normal"/>
        <w:rPr>
          <w:rFonts w:ascii="Liberation Sans" w:hAnsi="Liberation Sans"/>
        </w:rPr>
      </w:pPr>
      <w:r>
        <w:rPr>
          <w:rFonts w:ascii="Liberation Sans" w:hAnsi="Liberation Sans"/>
          <w:color w:val="000000"/>
          <w:shd w:fill="auto" w:val="clear"/>
        </w:rPr>
        <w:t xml:space="preserve">It does not alter the Compact's broader inclusion of all Lower Basin tributaries—like the Gila—in the definition of the "Colorado River System" (Article II(a)), which encompasses the river and its tributaries within the U.S. for basin-wide apportionment purposes. Upper Basin states argue that the Compact's text (e.g., Articles III(a)–(c)) apportions 7.5 MAF + 1 MAF to the Lower Basin from the entire system, including tributaries, to determine total available water, surpluses, and shared obligations such as deliveries to Mexico under Article III(c). </w:t>
      </w:r>
    </w:p>
    <w:p>
      <w:pPr>
        <w:pStyle w:val="Normal"/>
        <w:rPr>
          <w:rFonts w:ascii="Liberation Sans" w:hAnsi="Liberation Sans"/>
        </w:rPr>
      </w:pPr>
      <w:r>
        <w:rPr>
          <w:rFonts w:ascii="Liberation Sans" w:hAnsi="Liberation Sans"/>
          <w:color w:val="000000"/>
          <w:shd w:fill="auto" w:val="clear"/>
        </w:rPr>
        <w:t>Excluding the Gila allows Arizona unrestricted use (estimated 1–3.5 MAF annually, depending on hydrology) beyond its mainstream share, effectively enabling the Lower Basin to exceed its 8.5 MAF system-wide entitlement. This, they contend, imbalances the basin, increases pressure on Upper Basin deliveries at Lee Ferry (to meet the non-depletion obligation of 75 MAF over 10 years under Article III(d)), and shifts a disproportionate burden for shortages or Mexico deliveries onto the Upper Basin amid climate-driven reductions in natural flows.</w:t>
      </w:r>
    </w:p>
    <w:p>
      <w:pPr>
        <w:pStyle w:val="Normal"/>
        <w:rPr>
          <w:rFonts w:ascii="Liberation Sans" w:hAnsi="Liberation Sans"/>
        </w:rPr>
      </w:pPr>
      <w:r>
        <w:rPr>
          <w:rFonts w:ascii="Liberation Sans" w:hAnsi="Liberation Sans"/>
          <w:color w:val="000000"/>
          <w:shd w:fill="auto" w:val="clear"/>
        </w:rPr>
        <w:t xml:space="preserve">Historically, during Arizona v. California litigation, Upper Basin intervenors supported tributary exclusion from BCPA mainstream accounting to protect against precedents that might encroach on Upper tributaries or allow California to claim more mainstream water, potentially affecting inter-basin equity. </w:t>
      </w:r>
    </w:p>
    <w:p>
      <w:pPr>
        <w:pStyle w:val="Normal"/>
        <w:rPr>
          <w:rFonts w:ascii="Liberation Sans" w:hAnsi="Liberation Sans"/>
        </w:rPr>
      </w:pPr>
      <w:r>
        <w:rPr>
          <w:rFonts w:ascii="Liberation Sans" w:hAnsi="Liberation Sans"/>
          <w:color w:val="000000"/>
          <w:shd w:fill="auto" w:val="clear"/>
        </w:rPr>
        <w:t>However, in modern interpretations (e.g., post-2000 negotiations and analyses like the Upper Colorado River Commission's stances), the position has solidified around Compact inclusion for system accounting, rejecting the Arizona v. California exclusion as inapplicable to Compact obligations and emphasizing shared basin-wide responsibility without unilateral Upper cuts. This view is substantiated by Compact negotiation records (e.g., 1922 minutes showing intent for inclusive apportionment) and critiques that the extra 1 MAF in Article III(b) was meant to accommodate Gila uses within—not beyond—the Lower Basin's total share.</w:t>
      </w:r>
    </w:p>
    <w:p>
      <w:pPr>
        <w:pStyle w:val="Normal"/>
        <w:rPr>
          <w:rFonts w:ascii="Liberation Sans" w:hAnsi="Liberation Sans"/>
          <w:color w:val="000000"/>
          <w:shd w:fill="auto" w:val="clear"/>
        </w:rPr>
      </w:pPr>
      <w:r>
        <w:rPr>
          <w:rFonts w:ascii="Liberation Sans" w:hAnsi="Liberation Sans"/>
          <w:color w:val="000000"/>
          <w:shd w:fill="auto" w:val="clear"/>
        </w:rPr>
        <w:t>There are stronger, more persuasive arguments in the canonical Upper Basin position on the Gila River's exclusion from Colorado River Compact accounting (as established by Arizona v. California in 1963). The initial textual argument—that the Compact's definition of the "Colorado River System" in Article II(a) explicitly includes all tributaries—is solid but often seen as somewhat literalist and countered by the Supreme Court's narrow reading of the Boulder Canyon Project Act (BCPA). Better arguments focus on equity, intent, basin-wide balance, and practical consequences amid declining flows.</w:t>
      </w:r>
    </w:p>
    <w:p>
      <w:pPr>
        <w:pStyle w:val="TextBody"/>
        <w:rPr>
          <w:b/>
          <w:b/>
          <w:bCs/>
        </w:rPr>
      </w:pPr>
      <w:bookmarkStart w:id="15" w:name="__RefHeading___Toc5797_4147804815"/>
      <w:bookmarkEnd w:id="15"/>
      <w:r>
        <w:rPr>
          <w:b/>
          <w:bCs/>
        </w:rPr>
        <w:t xml:space="preserve"> </w:t>
      </w:r>
      <w:r>
        <w:rPr>
          <w:b/>
          <w:bCs/>
        </w:rPr>
        <w:t>Upper Basin Arguments</w:t>
      </w:r>
    </w:p>
    <w:p>
      <w:pPr>
        <w:pStyle w:val="TextBody"/>
        <w:numPr>
          <w:ilvl w:val="0"/>
          <w:numId w:val="15"/>
        </w:numPr>
        <w:tabs>
          <w:tab w:val="clear" w:pos="720"/>
          <w:tab w:val="left" w:pos="0" w:leader="none"/>
        </w:tabs>
        <w:bidi w:val="0"/>
        <w:spacing w:before="0" w:after="0"/>
        <w:ind w:left="709" w:hanging="283"/>
        <w:rPr>
          <w:rFonts w:ascii="Liberation Sans" w:hAnsi="Liberation Sans"/>
          <w:color w:val="000000"/>
          <w:shd w:fill="auto" w:val="clear"/>
        </w:rPr>
      </w:pPr>
      <w:r>
        <w:rPr>
          <w:rFonts w:ascii="Liberation Sans" w:hAnsi="Liberation Sans"/>
          <w:color w:val="000000"/>
          <w:shd w:fill="auto" w:val="clear"/>
        </w:rPr>
        <w:t>The Extra 1 MAF in Article III(b) Was Intended as Compensation for Gila Inclusion</w:t>
        <w:br/>
        <w:t>During 1922 negotiations, Arizona strongly opposed including the Gila (its dominant tributary) because its waters enter far downstream and cannot be reused in the U.S. after mixing with the mainstream. Upper Basin delegates agreed to the additional 1 MAF allocation to the Lower Basin (beyond the base 7.5 MAF in III(a)) specifically to offset Arizona's Gila uses—meaning the Gila was factored into the overall Lower Basin entitlement. Excluding it now lets Arizona enjoy unrestricted Gila consumption (often 2–3+ MAF in wet years) plus its full 2.8 MAF mainstream share, effectively giving the Lower Basin more than its intended 8.5 MAF system total. This violates the Compact's equitable intent and forces the Upper Basin to subsidize Lower Basin "over-allocation" through higher Lee Ferry releases.</w:t>
      </w:r>
    </w:p>
    <w:p>
      <w:pPr>
        <w:pStyle w:val="TextBody"/>
        <w:numPr>
          <w:ilvl w:val="0"/>
          <w:numId w:val="15"/>
        </w:numPr>
        <w:tabs>
          <w:tab w:val="clear" w:pos="720"/>
          <w:tab w:val="left" w:pos="0" w:leader="none"/>
        </w:tabs>
        <w:bidi w:val="0"/>
        <w:spacing w:before="0" w:after="0"/>
        <w:ind w:left="709" w:hanging="283"/>
        <w:rPr>
          <w:rFonts w:ascii="Liberation Sans" w:hAnsi="Liberation Sans"/>
          <w:color w:val="000000"/>
          <w:shd w:fill="auto" w:val="clear"/>
        </w:rPr>
      </w:pPr>
      <w:r>
        <w:rPr>
          <w:rFonts w:ascii="Liberation Sans" w:hAnsi="Liberation Sans"/>
          <w:color w:val="000000"/>
          <w:shd w:fill="auto" w:val="clear"/>
        </w:rPr>
        <w:t>Basin-Wide Equity and Shared Burden for Shortages/Mexico Obligations</w:t>
        <w:br/>
        <w:t>The Compact apportions the entire system (mainstream + tributaries) to ensure balanced development. By excluding the Gila (24% of the basin's drainage area), Arizona's effective Lower Basin consumptive use often exceeds the 7.5 MAF mainstream + 1 MAF extra, increasing pressure on Upper Basin flows to meet Article III(c) Mexico treaty obligations (shared equally unless surplus exists). Upper Basin states argue this creates asymmetry: they face climate-driven shortages without "credit" for their own undeveloped allocations, while Arizona benefits from tributary exclusion without bearing proportional responsibility. This undermines the Compact's goal of preventing one basin from disproportionately burdening the other.</w:t>
      </w:r>
    </w:p>
    <w:p>
      <w:pPr>
        <w:pStyle w:val="TextBody"/>
        <w:numPr>
          <w:ilvl w:val="0"/>
          <w:numId w:val="15"/>
        </w:numPr>
        <w:tabs>
          <w:tab w:val="clear" w:pos="720"/>
          <w:tab w:val="left" w:pos="0" w:leader="none"/>
        </w:tabs>
        <w:bidi w:val="0"/>
        <w:spacing w:before="0" w:after="0"/>
        <w:ind w:left="709" w:hanging="283"/>
        <w:rPr>
          <w:rFonts w:ascii="Liberation Sans" w:hAnsi="Liberation Sans"/>
          <w:color w:val="000000"/>
          <w:shd w:fill="auto" w:val="clear"/>
        </w:rPr>
      </w:pPr>
      <w:r>
        <w:rPr>
          <w:rFonts w:ascii="Liberation Sans" w:hAnsi="Liberation Sans"/>
          <w:color w:val="000000"/>
          <w:shd w:fill="auto" w:val="clear"/>
        </w:rPr>
        <w:t>Historical Negotiation Context and Arizona's Own Position</w:t>
        <w:br/>
        <w:t>Arizona refused to ratify the Compact for decades partly because it feared Gila inclusion without safeguards—yet Arizona v. California gave Arizona the exclusion it wanted for mainstream accounting while ignoring Compact-wide implications. Upper Basin views this as selective application: the decision resolved Lower Basin internal disputes under the BCPA but did not rewrite the 1922 Compact's inclusive system definition. Negotiation records (e.g., 1922 minutes) show delegates understood tributaries would count toward basin totals to avoid upstream development being penalized by downstream claims.</w:t>
      </w:r>
    </w:p>
    <w:p>
      <w:pPr>
        <w:pStyle w:val="TextBody"/>
        <w:numPr>
          <w:ilvl w:val="0"/>
          <w:numId w:val="15"/>
        </w:numPr>
        <w:tabs>
          <w:tab w:val="clear" w:pos="720"/>
          <w:tab w:val="left" w:pos="0" w:leader="none"/>
        </w:tabs>
        <w:bidi w:val="0"/>
        <w:spacing w:before="0" w:after="0"/>
        <w:ind w:left="709" w:hanging="283"/>
        <w:rPr>
          <w:rFonts w:ascii="Liberation Sans" w:hAnsi="Liberation Sans"/>
          <w:color w:val="000000"/>
          <w:shd w:fill="auto" w:val="clear"/>
        </w:rPr>
      </w:pPr>
      <w:r>
        <w:rPr>
          <w:rFonts w:ascii="Liberation Sans" w:hAnsi="Liberation Sans"/>
          <w:color w:val="000000"/>
          <w:shd w:fill="auto" w:val="clear"/>
        </w:rPr>
        <w:t>Modern Practical and Hydrologic Reality</w:t>
        <w:br/>
        <w:t>With climate change reducing natural flows, excluding major tributaries like the Gila artificially inflates perceived Lower Basin "compliance" while the Upper Basin (which generates most runoff) absorbs disproportionate risk. Upper Basin advocates (e.g., via Upper Colorado River Commission analyses) emphasize that formal water budgets and accounting should reflect actual system contributions for fair post-2026 operations—excluding the Gila distorts this and incentivizes inefficient Lower Basin use.</w:t>
      </w:r>
    </w:p>
    <w:p>
      <w:pPr>
        <w:pStyle w:val="TextBody"/>
        <w:numPr>
          <w:ilvl w:val="0"/>
          <w:numId w:val="0"/>
        </w:numPr>
        <w:tabs>
          <w:tab w:val="clear" w:pos="720"/>
          <w:tab w:val="left" w:pos="0" w:leader="none"/>
        </w:tabs>
        <w:bidi w:val="0"/>
        <w:spacing w:before="0" w:after="0"/>
        <w:ind w:left="709" w:hanging="0"/>
        <w:rPr>
          <w:rFonts w:ascii="Liberation Sans" w:hAnsi="Liberation Sans"/>
          <w:color w:val="000000"/>
          <w:shd w:fill="auto" w:val="clear"/>
        </w:rPr>
      </w:pPr>
      <w:r>
        <w:rPr>
          <w:rFonts w:ascii="Liberation Sans" w:hAnsi="Liberation Sans"/>
          <w:color w:val="000000"/>
          <w:shd w:fill="auto" w:val="clear"/>
        </w:rPr>
      </w:r>
    </w:p>
    <w:p>
      <w:pPr>
        <w:pStyle w:val="TextBody"/>
        <w:spacing w:before="0" w:after="0"/>
        <w:rPr>
          <w:rFonts w:ascii="Liberation Sans" w:hAnsi="Liberation Sans"/>
          <w:color w:val="000000"/>
          <w:shd w:fill="auto" w:val="clear"/>
        </w:rPr>
      </w:pPr>
      <w:r>
        <w:rPr>
          <w:rFonts w:ascii="Liberation Sans" w:hAnsi="Liberation Sans"/>
          <w:color w:val="000000"/>
          <w:shd w:fill="auto" w:val="clear"/>
        </w:rPr>
        <w:t>These arguments are more compelling because they shift from pure textualism to equitable apportionment principles (embedded in Compact negotiations), original intent, and current hydrologic equity—key in ongoing post-2026 negotiations where Upper Basin states resist mandatory cuts without basin-wide accounting reforms. The position avoids over-relying on the Supreme Court's BCPA specific ruling, instead framing exclusion as an unintended loophole that imbalances the 1922 framework.</w:t>
      </w:r>
    </w:p>
    <w:p>
      <w:pPr>
        <w:pStyle w:val="TextBody"/>
        <w:spacing w:before="0" w:after="0"/>
        <w:rPr>
          <w:rFonts w:ascii="Liberation Sans" w:hAnsi="Liberation Sans"/>
          <w:color w:val="000000"/>
          <w:shd w:fill="auto" w:val="clear"/>
        </w:rPr>
      </w:pPr>
      <w:r>
        <w:rPr/>
      </w:r>
    </w:p>
    <w:p>
      <w:pPr>
        <w:pStyle w:val="TextBody"/>
        <w:spacing w:before="0" w:after="0"/>
        <w:rPr>
          <w:rFonts w:ascii="Liberation Sans" w:hAnsi="Liberation Sans"/>
          <w:color w:val="000000"/>
          <w:shd w:fill="auto" w:val="clear"/>
        </w:rPr>
      </w:pPr>
      <w:r>
        <w:rPr/>
      </w:r>
      <w:r>
        <w:br w:type="page"/>
      </w:r>
    </w:p>
    <w:p>
      <w:pPr>
        <w:pStyle w:val="TextBody"/>
        <w:spacing w:before="0" w:after="0"/>
        <w:rPr/>
      </w:pPr>
      <w:r>
        <w:rPr/>
      </w:r>
    </w:p>
    <w:p>
      <w:pPr>
        <w:pStyle w:val="Normal"/>
        <w:spacing w:before="0" w:after="200"/>
        <w:rPr/>
      </w:pPr>
      <w:r>
        <w:rPr/>
      </w:r>
    </w:p>
    <w:sectPr>
      <w:footerReference w:type="default" r:id="rId12"/>
      <w:endnotePr>
        <w:numFmt w:val="lowerRoman"/>
      </w:endnotePr>
      <w:type w:val="nextPage"/>
      <w:pgSz w:w="12240" w:h="15840"/>
      <w:pgMar w:left="1440" w:right="1440" w:gutter="0" w:header="0" w:top="1440" w:footer="1440" w:bottom="1999"/>
      <w:pgNumType w:fmt="decimal"/>
      <w:formProt w:val="false"/>
      <w:textDirection w:val="lrTb"/>
      <w:docGrid w:type="default" w:linePitch="360" w:charSpace="0"/>
    </w:sectPr>
  </w:body>
</w:document>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endnote w:id="0" w:type="separator">
    <w:p>
      <w:r>
        <w:separator/>
      </w:r>
    </w:p>
  </w:endnote>
  <w:endnote w:id="1" w:type="continuationSeparator">
    <w:p>
      <w:r>
        <w:continuationSeparator/>
      </w:r>
    </w:p>
  </w:endnote>
  <w:endnote w:id="2">
    <w:p>
      <w:pPr>
        <w:pStyle w:val="Normal"/>
        <w:spacing w:before="0" w:after="0"/>
        <w:rPr/>
      </w:pPr>
      <w:r>
        <w:rPr>
          <w:rStyle w:val="EndnoteCharacters"/>
        </w:rPr>
        <w:endnoteRef/>
      </w:r>
      <w:r>
        <w:rPr>
          <w:rFonts w:ascii="sans-serif" w:hAnsi="sans-serif"/>
          <w:color w:val="000000"/>
          <w:shd w:fill="auto" w:val="clear"/>
        </w:rPr>
        <w:t xml:space="preserve">Schiffer, W. Patrick, Herbert R. Guenther, and Thomas G. Carr. "From a Colorado River Compact Challenge to the Next Era of Cooperation Among Seven Basin States." Arizona Law Review 49, no. 2 (2007): 217–?. </w:t>
      </w:r>
      <w:hyperlink r:id="rId1" w:tgtFrame="_blank">
        <w:r>
          <w:rPr>
            <w:rStyle w:val="InternetLink"/>
            <w:rFonts w:ascii="sans-serif" w:hAnsi="sans-serif"/>
            <w:color w:val="000000"/>
            <w:shd w:fill="auto" w:val="clear"/>
          </w:rPr>
          <w:t>https://arizonalawreview.org/schiffer-guenther/</w:t>
        </w:r>
      </w:hyperlink>
      <w:r>
        <w:rPr>
          <w:rFonts w:ascii="sans-serif" w:hAnsi="sans-serif"/>
          <w:color w:val="000000"/>
          <w:shd w:fill="auto" w:val="clear"/>
        </w:rPr>
        <w:t>.</w:t>
      </w:r>
    </w:p>
  </w:endnote>
  <w:endnote w:id="3">
    <w:p>
      <w:pPr>
        <w:pStyle w:val="Normal"/>
        <w:spacing w:before="0" w:after="0"/>
        <w:rPr/>
      </w:pPr>
      <w:r>
        <w:rPr>
          <w:rStyle w:val="EndnoteCharacters"/>
        </w:rPr>
        <w:endnoteRef/>
      </w:r>
      <w:r>
        <w:rPr>
          <w:rFonts w:ascii="sans-serif" w:hAnsi="sans-serif"/>
          <w:color w:val="000000"/>
          <w:shd w:fill="auto" w:val="clear"/>
        </w:rPr>
        <w:t xml:space="preserve">State of Colorado, Upper Colorado River Commissioner, Department of Natural Resources, Comments on the Draft Environmental Impact Statement for Post-2026 Operational Guidelines and Strategies for Lake Powell and Lake Mead (Bureau of Reclamation, January 2026), </w:t>
      </w:r>
      <w:hyperlink r:id="rId2" w:tgtFrame="_blank">
        <w:r>
          <w:rPr>
            <w:rStyle w:val="InternetLink"/>
            <w:rFonts w:ascii="sans-serif" w:hAnsi="sans-serif"/>
            <w:color w:val="000000"/>
            <w:shd w:fill="auto" w:val="clear"/>
          </w:rPr>
          <w:t>https://coloradoriver.com/wp-content/uploads/2026/03/Colorado-EIS-comments.pdf</w:t>
        </w:r>
      </w:hyperlink>
      <w:r>
        <w:rPr>
          <w:rFonts w:ascii="sans-serif" w:hAnsi="sans-serif"/>
          <w:color w:val="000000"/>
          <w:shd w:fill="auto" w:val="clear"/>
        </w:rPr>
        <w:t>.</w:t>
      </w:r>
    </w:p>
    <w:p>
      <w:pPr>
        <w:pStyle w:val="Endnote"/>
        <w:suppressLineNumbers/>
        <w:spacing w:before="0" w:after="200"/>
        <w:ind w:left="340" w:hanging="340"/>
        <w:rPr/>
      </w:pPr>
      <w:r>
        <w:rPr/>
      </w:r>
    </w:p>
  </w:endnote>
</w:endnote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ans-serif">
    <w:altName w:val="Arial"/>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2">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3">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4">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5">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6">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7">
    <w:lvl w:ilvl="0">
      <w:start w:val="1"/>
      <w:numFmt w:val="decimal"/>
      <w:lvlText w:val="%1."/>
      <w:lvlJc w:val="left"/>
      <w:pPr>
        <w:tabs>
          <w:tab w:val="num" w:pos="397"/>
        </w:tabs>
        <w:ind w:left="754" w:hanging="397"/>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abstractNum w:abstractNumId="8">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20"/>
  <w:autoHyphenation w:val="true"/>
  <w:endnotePr>
    <w:numFmt w:val="lowerRoman"/>
    <w:endnote w:id="0"/>
    <w:endnote w:id="1"/>
  </w:end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rial" w:hAnsi="Arial"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VisitedInternetLink">
    <w:name w:val="FollowedHyperlink"/>
    <w:rPr>
      <w:color w:val="800000"/>
      <w:u w:val="single"/>
    </w:rPr>
  </w:style>
  <w:style w:type="character" w:styleId="Bullets">
    <w:name w:val="Bullets"/>
    <w:qFormat/>
    <w:rPr>
      <w:rFonts w:ascii="OpenSymbol" w:hAnsi="OpenSymbol" w:eastAsia="OpenSymbol" w:cs="OpenSymbol"/>
    </w:rPr>
  </w:style>
  <w:style w:type="character" w:styleId="EndnoteCharacters">
    <w:name w:val="Endnote Characters"/>
    <w:qFormat/>
    <w:rPr/>
  </w:style>
  <w:style w:type="character" w:styleId="EndnoteAnchor">
    <w:name w:val="Endnote Anchor"/>
    <w:rPr>
      <w:vertAlign w:val="superscript"/>
    </w:rPr>
  </w:style>
  <w:style w:type="character" w:styleId="FootnoteAnchor">
    <w:name w:val="Footnote Anchor"/>
    <w:rPr>
      <w:vertAlign w:val="superscript"/>
    </w:rPr>
  </w:style>
  <w:style w:type="character" w:styleId="FootnoteCharacters">
    <w:name w:val="Footnote Character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10"/>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8"/>
      </w:numPr>
      <w:spacing w:before="0" w:after="200"/>
      <w:contextualSpacing/>
    </w:pPr>
    <w:rPr/>
  </w:style>
  <w:style w:type="paragraph" w:styleId="ListBullet2">
    <w:name w:val="List Bullet 2"/>
    <w:basedOn w:val="Normal"/>
    <w:uiPriority w:val="99"/>
    <w:unhideWhenUsed/>
    <w:qFormat/>
    <w:rsid w:val="00326f90"/>
    <w:pPr>
      <w:numPr>
        <w:ilvl w:val="0"/>
        <w:numId w:val="9"/>
      </w:numPr>
      <w:spacing w:before="0" w:after="200"/>
      <w:contextualSpacing/>
    </w:pPr>
    <w:rPr/>
  </w:style>
  <w:style w:type="paragraph" w:styleId="ListNumber">
    <w:name w:val="List Number"/>
    <w:basedOn w:val="Normal"/>
    <w:uiPriority w:val="99"/>
    <w:unhideWhenUsed/>
    <w:qFormat/>
    <w:rsid w:val="00326f90"/>
    <w:pPr>
      <w:numPr>
        <w:ilvl w:val="0"/>
        <w:numId w:val="11"/>
      </w:numPr>
      <w:spacing w:before="0" w:after="200"/>
      <w:contextualSpacing/>
    </w:pPr>
    <w:rPr/>
  </w:style>
  <w:style w:type="paragraph" w:styleId="ListNumber2">
    <w:name w:val="List Number 2"/>
    <w:basedOn w:val="Normal"/>
    <w:uiPriority w:val="99"/>
    <w:unhideWhenUsed/>
    <w:qFormat/>
    <w:rsid w:val="0029639d"/>
    <w:pPr>
      <w:numPr>
        <w:ilvl w:val="0"/>
        <w:numId w:val="12"/>
      </w:numPr>
      <w:spacing w:before="0" w:after="200"/>
      <w:contextualSpacing/>
    </w:pPr>
    <w:rPr/>
  </w:style>
  <w:style w:type="paragraph" w:styleId="ListNumber3">
    <w:name w:val="List Number 3"/>
    <w:basedOn w:val="Normal"/>
    <w:uiPriority w:val="99"/>
    <w:unhideWhenUsed/>
    <w:qFormat/>
    <w:rsid w:val="0029639d"/>
    <w:pPr>
      <w:numPr>
        <w:ilvl w:val="0"/>
        <w:numId w:val="13"/>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Contents2">
    <w:name w:val="TOC 2"/>
    <w:basedOn w:val="Index"/>
    <w:pPr>
      <w:tabs>
        <w:tab w:val="clear" w:pos="720"/>
        <w:tab w:val="right" w:pos="12677" w:leader="dot"/>
      </w:tabs>
      <w:ind w:left="283" w:hanging="0"/>
    </w:pPr>
    <w:rPr/>
  </w:style>
  <w:style w:type="paragraph" w:styleId="Contents1">
    <w:name w:val="TOC 1"/>
    <w:basedOn w:val="Index"/>
    <w:pPr>
      <w:tabs>
        <w:tab w:val="clear" w:pos="720"/>
        <w:tab w:val="right" w:pos="12960" w:leader="dot"/>
      </w:tabs>
      <w:ind w:left="0" w:hanging="0"/>
    </w:pPr>
    <w:rPr/>
  </w:style>
  <w:style w:type="paragraph" w:styleId="TableContents">
    <w:name w:val="Table Contents"/>
    <w:basedOn w:val="Normal"/>
    <w:qFormat/>
    <w:pPr>
      <w:widowControl w:val="false"/>
      <w:suppressLineNumbers/>
    </w:pPr>
    <w:rPr/>
  </w:style>
  <w:style w:type="paragraph" w:styleId="Contents3">
    <w:name w:val="TOC 3"/>
    <w:basedOn w:val="Index"/>
    <w:pPr>
      <w:tabs>
        <w:tab w:val="clear" w:pos="720"/>
        <w:tab w:val="right" w:pos="8793" w:leader="dot"/>
      </w:tabs>
      <w:ind w:left="567" w:hanging="0"/>
    </w:pPr>
    <w:rPr/>
  </w:style>
  <w:style w:type="paragraph" w:styleId="Endnote">
    <w:name w:val="Endnote Text"/>
    <w:basedOn w:val="Normal"/>
    <w:pPr>
      <w:suppressLineNumbers/>
      <w:ind w:left="340" w:hanging="340"/>
    </w:pPr>
    <w:rPr>
      <w:sz w:val="20"/>
      <w:szCs w:val="20"/>
    </w:rPr>
  </w:style>
  <w:style w:type="numbering" w:styleId="NoList" w:default="1">
    <w:name w:val="No List"/>
    <w:uiPriority w:val="99"/>
    <w:semiHidden/>
    <w:unhideWhenUsed/>
    <w:qFormat/>
  </w:style>
  <w:style w:type="numbering" w:styleId="Bullet">
    <w:name w:val="Bullet •"/>
    <w:qFormat/>
  </w:style>
  <w:style w:type="numbering" w:styleId="Numbering123">
    <w:name w:val="Numbering 123"/>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varuna.io/LOTR/1968/crbproj.pdf" TargetMode="External"/><Relationship Id="rId4" Type="http://schemas.openxmlformats.org/officeDocument/2006/relationships/hyperlink" Target="https://www.inkstain.net/wp-content/uploads/Tripwire-Paper-FINAL.pdf" TargetMode="External"/><Relationship Id="rId5" Type="http://schemas.openxmlformats.org/officeDocument/2006/relationships/hyperlink" Target="https://library.cap-az.com/documents/education/2018-Tintor.pdf" TargetMode="External"/><Relationship Id="rId6" Type="http://schemas.openxmlformats.org/officeDocument/2006/relationships/image" Target="media/image1.png"/><Relationship Id="rId7" Type="http://schemas.openxmlformats.org/officeDocument/2006/relationships/hyperlink" Target="https://www.varuna.io/LOTR/1922/crcompct.pdf" TargetMode="External"/><Relationship Id="rId8" Type="http://schemas.openxmlformats.org/officeDocument/2006/relationships/package" Target="embeddings/oleObject1.xlsx"/><Relationship Id="rId9" Type="http://schemas.openxmlformats.org/officeDocument/2006/relationships/image" Target="media/image2.emf"/><Relationship Id="rId10" Type="http://schemas.openxmlformats.org/officeDocument/2006/relationships/hyperlink" Target="https://arizonalawreview.org/schiffer-guenther/" TargetMode="External"/><Relationship Id="rId11" Type="http://schemas.openxmlformats.org/officeDocument/2006/relationships/hyperlink" Target="https://www.varuna.io/LOTR/2004/CWCB_November_Letters_to_Norton.pdf" TargetMode="External"/><Relationship Id="rId12" Type="http://schemas.openxmlformats.org/officeDocument/2006/relationships/footer" Target="footer1.xml"/><Relationship Id="rId13" Type="http://schemas.openxmlformats.org/officeDocument/2006/relationships/endnotes" Target="endnotes.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_rels/endnotes.xml.rels><?xml version="1.0" encoding="UTF-8"?>
<Relationships xmlns="http://schemas.openxmlformats.org/package/2006/relationships"><Relationship Id="rId1" Type="http://schemas.openxmlformats.org/officeDocument/2006/relationships/hyperlink" Target="https://arizonalawreview.org/schiffer-guenther/" TargetMode="External"/><Relationship Id="rId2" Type="http://schemas.openxmlformats.org/officeDocument/2006/relationships/hyperlink" Target="https://coloradoriver.com/wp-content/uploads/2026/03/Colorado-EIS-comment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2712</TotalTime>
  <Application>LibreOffice/7.3.7.2$Linux_AARCH64 LibreOffice_project/30$Build-2</Application>
  <AppVersion>15.0000</AppVersion>
  <Pages>29</Pages>
  <Words>7898</Words>
  <Characters>42975</Characters>
  <CharactersWithSpaces>50652</CharactersWithSpaces>
  <Paragraphs>219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2026-03-15T05:49:52Z</dcterms:modified>
  <cp:revision>83</cp:revision>
  <dc:subject/>
  <dc:title/>
</cp:coreProperties>
</file>

<file path=docProps/custom.xml><?xml version="1.0" encoding="utf-8"?>
<Properties xmlns="http://schemas.openxmlformats.org/officeDocument/2006/custom-properties" xmlns:vt="http://schemas.openxmlformats.org/officeDocument/2006/docPropsVTypes"/>
</file>