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emf" ContentType="image/x-emf"/>
  <Override PartName="/word/embeddings/oleObject1.xlsx" ContentType="application/vnd.openxmlformats-officedocument.spreadsheetml.shee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sz w:val="48"/>
        </w:rPr>
        <w:t xml:space="preserve">Deterrence </w:t>
      </w:r>
    </w:p>
    <w:p>
      <w:pPr>
        <w:pStyle w:val="Normal"/>
        <w:jc w:val="center"/>
        <w:rPr/>
      </w:pPr>
      <w:r>
        <w:rPr>
          <w:b/>
          <w:sz w:val="48"/>
        </w:rPr>
        <w:t>or Cooperation</w:t>
      </w:r>
    </w:p>
    <w:p>
      <w:pPr>
        <w:pStyle w:val="Normal"/>
        <w:jc w:val="center"/>
        <w:rPr/>
      </w:pPr>
      <w:r>
        <w:rPr>
          <w:b/>
          <w:sz w:val="48"/>
        </w:rPr>
        <w:t>Colorado River Compact Crisis Strategy</w:t>
      </w:r>
    </w:p>
    <w:p>
      <w:pPr>
        <w:pStyle w:val="Normal"/>
        <w:jc w:val="center"/>
        <w:rPr>
          <w:b/>
          <w:b/>
          <w:sz w:val="40"/>
        </w:rPr>
      </w:pPr>
      <w:r>
        <w:rPr>
          <w:b/>
          <w:sz w:val="40"/>
        </w:rPr>
      </w:r>
    </w:p>
    <w:p>
      <w:pPr>
        <w:pStyle w:val="Normal"/>
        <w:jc w:val="center"/>
        <w:rPr/>
      </w:pPr>
      <w:r>
        <w:rPr>
          <w:sz w:val="28"/>
        </w:rPr>
        <w:t>Prepared by: Ed Millard</w:t>
      </w:r>
    </w:p>
    <w:p>
      <w:pPr>
        <w:pStyle w:val="Normal"/>
        <w:jc w:val="center"/>
        <w:rPr/>
      </w:pPr>
      <w:r>
        <w:rPr>
          <w:sz w:val="28"/>
        </w:rPr>
        <w:t>Water Policy Advisor to Colorado Rep. Larry Don Suckla</w:t>
      </w:r>
    </w:p>
    <w:p>
      <w:pPr>
        <w:pStyle w:val="Normal"/>
        <w:jc w:val="center"/>
        <w:rPr/>
      </w:pPr>
      <w:r>
        <w:rPr>
          <w:sz w:val="28"/>
        </w:rPr>
        <w:t>Date: February 1</w:t>
      </w:r>
      <w:r>
        <w:rPr>
          <w:sz w:val="28"/>
        </w:rPr>
        <w:t>9</w:t>
      </w:r>
      <w:r>
        <w:rPr>
          <w:sz w:val="28"/>
        </w:rPr>
        <w:t>, 2026</w:t>
      </w:r>
    </w:p>
    <w:p>
      <w:pPr>
        <w:pStyle w:val="Normal"/>
        <w:jc w:val="center"/>
        <w:rPr/>
      </w:pPr>
      <w:r>
        <w:rPr>
          <w:sz w:val="28"/>
        </w:rPr>
        <w:t>Version  1.</w:t>
      </w:r>
      <w:r>
        <w:rPr>
          <w:sz w:val="28"/>
        </w:rPr>
        <w:t>2b</w:t>
      </w:r>
    </w:p>
    <w:p>
      <w:pPr>
        <w:pStyle w:val="Normal"/>
        <w:jc w:val="center"/>
        <w:rPr>
          <w:sz w:val="22"/>
          <w:szCs w:val="22"/>
        </w:rPr>
      </w:pPr>
      <w:r>
        <w:rPr>
          <w:sz w:val="22"/>
          <w:szCs w:val="22"/>
        </w:rPr>
        <w:t>Living Document, Work in Progress, Don’t Sue Me, Join Me</w:t>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2968625"/>
            <wp:effectExtent l="0" t="0" r="0" b="0"/>
            <wp:wrapSquare wrapText="largest"/>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tretch>
                      <a:fillRect/>
                    </a:stretch>
                  </pic:blipFill>
                  <pic:spPr bwMode="auto">
                    <a:xfrm>
                      <a:off x="0" y="0"/>
                      <a:ext cx="5943600" cy="2968625"/>
                    </a:xfrm>
                    <a:prstGeom prst="rect">
                      <a:avLst/>
                    </a:prstGeom>
                  </pic:spPr>
                </pic:pic>
              </a:graphicData>
            </a:graphic>
          </wp:anchor>
        </w:drawing>
      </w:r>
    </w:p>
    <w:sdt>
      <w:sdtPr>
        <w:docPartObj>
          <w:docPartGallery w:val="Table of Contents"/>
          <w:docPartUnique w:val="true"/>
        </w:docPartObj>
      </w:sdtPr>
      <w:sdtContent>
        <w:p>
          <w:pPr>
            <w:pStyle w:val="ContentsHeading"/>
            <w:rPr/>
          </w:pPr>
          <w:r>
            <w:br w:type="page"/>
          </w:r>
          <w:r>
            <w:rPr/>
            <w:t>Table of Contents</w:t>
          </w:r>
        </w:p>
        <w:p>
          <w:pPr>
            <w:pStyle w:val="Contents1"/>
            <w:tabs>
              <w:tab w:val="clear" w:pos="12960"/>
              <w:tab w:val="right" w:pos="9360" w:leader="dot"/>
            </w:tabs>
            <w:rPr/>
          </w:pPr>
          <w:r>
            <w:fldChar w:fldCharType="begin"/>
          </w:r>
          <w:r>
            <w:rPr>
              <w:rStyle w:val="IndexLink"/>
            </w:rPr>
            <w:instrText xml:space="preserve"> TOC \f \o "1-3" \h</w:instrText>
          </w:r>
          <w:r>
            <w:rPr>
              <w:rStyle w:val="IndexLink"/>
            </w:rPr>
            <w:fldChar w:fldCharType="separate"/>
          </w:r>
          <w:hyperlink w:anchor="__RefHeading___Toc15732_3941092844111">
            <w:r>
              <w:rPr>
                <w:rStyle w:val="IndexLink"/>
              </w:rPr>
              <w:t>Overview</w:t>
              <w:tab/>
              <w:t>3</w:t>
            </w:r>
          </w:hyperlink>
        </w:p>
        <w:p>
          <w:pPr>
            <w:pStyle w:val="Contents1"/>
            <w:tabs>
              <w:tab w:val="clear" w:pos="12960"/>
              <w:tab w:val="right" w:pos="9360" w:leader="dot"/>
            </w:tabs>
            <w:rPr/>
          </w:pPr>
          <w:hyperlink w:anchor="__RefHeading___Toc1370_3032948006">
            <w:r>
              <w:rPr>
                <w:rStyle w:val="IndexLink"/>
              </w:rPr>
              <w:t>Foundational Principles</w:t>
              <w:tab/>
              <w:t>4</w:t>
            </w:r>
          </w:hyperlink>
        </w:p>
        <w:p>
          <w:pPr>
            <w:pStyle w:val="Contents1"/>
            <w:tabs>
              <w:tab w:val="clear" w:pos="12960"/>
              <w:tab w:val="right" w:pos="9360" w:leader="dot"/>
            </w:tabs>
            <w:rPr/>
          </w:pPr>
          <w:hyperlink w:anchor="__RefHeading___Toc755_3032948006">
            <w:r>
              <w:rPr>
                <w:rStyle w:val="IndexLink"/>
              </w:rPr>
              <w:t>Operations and NEPA</w:t>
              <w:tab/>
              <w:t>5</w:t>
            </w:r>
          </w:hyperlink>
        </w:p>
        <w:p>
          <w:pPr>
            <w:pStyle w:val="Contents2"/>
            <w:tabs>
              <w:tab w:val="clear" w:pos="12677"/>
              <w:tab w:val="right" w:pos="9360" w:leader="dot"/>
            </w:tabs>
            <w:rPr/>
          </w:pPr>
          <w:hyperlink w:anchor="__RefHeading___Toc757_3032948006">
            <w:r>
              <w:rPr>
                <w:rStyle w:val="IndexLink"/>
              </w:rPr>
              <w:t>Run-of-the-River Operations at Glen Canyon Dam</w:t>
              <w:tab/>
              <w:t>5</w:t>
            </w:r>
          </w:hyperlink>
        </w:p>
        <w:p>
          <w:pPr>
            <w:pStyle w:val="Contents1"/>
            <w:tabs>
              <w:tab w:val="clear" w:pos="12960"/>
              <w:tab w:val="right" w:pos="9360" w:leader="dot"/>
            </w:tabs>
            <w:rPr/>
          </w:pPr>
          <w:hyperlink w:anchor="__RefHeading___Toc759_3032948006">
            <w:r>
              <w:rPr>
                <w:rStyle w:val="IndexLink"/>
              </w:rPr>
              <w:t>Litigation</w:t>
              <w:tab/>
              <w:t>8</w:t>
            </w:r>
          </w:hyperlink>
        </w:p>
        <w:p>
          <w:pPr>
            <w:pStyle w:val="Contents2"/>
            <w:tabs>
              <w:tab w:val="clear" w:pos="12677"/>
              <w:tab w:val="right" w:pos="9360" w:leader="dot"/>
            </w:tabs>
            <w:rPr/>
          </w:pPr>
          <w:hyperlink w:anchor="__RefHeading___Toc761_3032948006">
            <w:r>
              <w:rPr>
                <w:rStyle w:val="IndexLink"/>
              </w:rPr>
              <w:t>Article III(c) Interpretation</w:t>
              <w:tab/>
              <w:t>8</w:t>
            </w:r>
          </w:hyperlink>
        </w:p>
        <w:p>
          <w:pPr>
            <w:pStyle w:val="Contents3"/>
            <w:tabs>
              <w:tab w:val="clear" w:pos="8793"/>
              <w:tab w:val="right" w:pos="9360" w:leader="dot"/>
            </w:tabs>
            <w:rPr/>
          </w:pPr>
          <w:hyperlink w:anchor="__RefHeading___Toc763_3032948006">
            <w:r>
              <w:rPr>
                <w:rStyle w:val="IndexLink"/>
              </w:rPr>
              <w:t>Background – This is Complicated, Sorry</w:t>
              <w:tab/>
              <w:t>8</w:t>
            </w:r>
          </w:hyperlink>
        </w:p>
        <w:p>
          <w:pPr>
            <w:pStyle w:val="Contents2"/>
            <w:tabs>
              <w:tab w:val="clear" w:pos="12677"/>
              <w:tab w:val="right" w:pos="9360" w:leader="dot"/>
            </w:tabs>
            <w:rPr/>
          </w:pPr>
          <w:hyperlink w:anchor="__RefHeading___Toc1372_3032948006">
            <w:r>
              <w:rPr>
                <w:rStyle w:val="IndexLink"/>
              </w:rPr>
              <w:t>NEW</w:t>
              <w:tab/>
              <w:t>10</w:t>
            </w:r>
          </w:hyperlink>
        </w:p>
        <w:p>
          <w:pPr>
            <w:pStyle w:val="Contents3"/>
            <w:tabs>
              <w:tab w:val="clear" w:pos="8793"/>
              <w:tab w:val="right" w:pos="9360" w:leader="dot"/>
            </w:tabs>
            <w:rPr/>
          </w:pPr>
          <w:hyperlink w:anchor="__RefHeading___Toc765_3032948006">
            <w:r>
              <w:rPr>
                <w:rStyle w:val="IndexLink"/>
              </w:rPr>
              <w:t>Status Quo</w:t>
              <w:tab/>
              <w:t>10</w:t>
            </w:r>
          </w:hyperlink>
        </w:p>
        <w:p>
          <w:pPr>
            <w:pStyle w:val="Contents3"/>
            <w:tabs>
              <w:tab w:val="clear" w:pos="8793"/>
              <w:tab w:val="right" w:pos="9360" w:leader="dot"/>
            </w:tabs>
            <w:rPr/>
          </w:pPr>
          <w:hyperlink w:anchor="__RefHeading___Toc767_3032948006">
            <w:r>
              <w:rPr>
                <w:rStyle w:val="IndexLink"/>
              </w:rPr>
              <w:t>Scenario 1 – All Deficit, All the Time</w:t>
              <w:tab/>
              <w:t>11</w:t>
            </w:r>
          </w:hyperlink>
        </w:p>
        <w:p>
          <w:pPr>
            <w:pStyle w:val="Contents3"/>
            <w:tabs>
              <w:tab w:val="clear" w:pos="8793"/>
              <w:tab w:val="right" w:pos="9360" w:leader="dot"/>
            </w:tabs>
            <w:rPr/>
          </w:pPr>
          <w:hyperlink w:anchor="__RefHeading___Toc769_3032948006">
            <w:r>
              <w:rPr>
                <w:rStyle w:val="IndexLink"/>
              </w:rPr>
              <w:t>Scenario 2 – Beneficial Consumptive Use Based</w:t>
              <w:tab/>
              <w:t>11</w:t>
            </w:r>
          </w:hyperlink>
        </w:p>
        <w:p>
          <w:pPr>
            <w:pStyle w:val="Contents3"/>
            <w:tabs>
              <w:tab w:val="clear" w:pos="8793"/>
              <w:tab w:val="right" w:pos="9360" w:leader="dot"/>
            </w:tabs>
            <w:rPr/>
          </w:pPr>
          <w:hyperlink w:anchor="__RefHeading___Toc771_3032948006">
            <w:r>
              <w:rPr>
                <w:rStyle w:val="IndexLink"/>
              </w:rPr>
              <w:t>Scenario 3 – Supply Based</w:t>
              <w:tab/>
              <w:t>13</w:t>
            </w:r>
          </w:hyperlink>
        </w:p>
        <w:p>
          <w:pPr>
            <w:pStyle w:val="Contents2"/>
            <w:tabs>
              <w:tab w:val="clear" w:pos="12677"/>
              <w:tab w:val="right" w:pos="9360" w:leader="dot"/>
            </w:tabs>
            <w:rPr/>
          </w:pPr>
          <w:hyperlink w:anchor="__RefHeading___Toc773_3032948006">
            <w:r>
              <w:rPr>
                <w:rStyle w:val="IndexLink"/>
              </w:rPr>
              <w:t>Article III(e) Interpretation</w:t>
              <w:tab/>
              <w:t>15</w:t>
            </w:r>
          </w:hyperlink>
        </w:p>
        <w:p>
          <w:pPr>
            <w:pStyle w:val="Contents2"/>
            <w:tabs>
              <w:tab w:val="clear" w:pos="12677"/>
              <w:tab w:val="right" w:pos="9360" w:leader="dot"/>
            </w:tabs>
            <w:rPr/>
          </w:pPr>
          <w:hyperlink w:anchor="__RefHeading___Toc775_3032948006">
            <w:r>
              <w:rPr>
                <w:rStyle w:val="IndexLink"/>
              </w:rPr>
              <w:t xml:space="preserve"> </w:t>
            </w:r>
            <w:r>
              <w:rPr>
                <w:rStyle w:val="IndexLink"/>
              </w:rPr>
              <w:t>Section 603</w:t>
              <w:tab/>
              <w:t>18</w:t>
            </w:r>
          </w:hyperlink>
        </w:p>
        <w:p>
          <w:pPr>
            <w:pStyle w:val="Contents1"/>
            <w:tabs>
              <w:tab w:val="clear" w:pos="12960"/>
              <w:tab w:val="right" w:pos="9360" w:leader="dot"/>
            </w:tabs>
            <w:rPr/>
          </w:pPr>
          <w:hyperlink w:anchor="__RefHeading___Toc777_3032948006">
            <w:r>
              <w:rPr>
                <w:rStyle w:val="IndexLink"/>
              </w:rPr>
              <w:t>Problems</w:t>
              <w:tab/>
              <w:t>21</w:t>
            </w:r>
          </w:hyperlink>
        </w:p>
        <w:p>
          <w:pPr>
            <w:pStyle w:val="Contents2"/>
            <w:tabs>
              <w:tab w:val="clear" w:pos="12677"/>
              <w:tab w:val="right" w:pos="9360" w:leader="dot"/>
            </w:tabs>
            <w:rPr/>
          </w:pPr>
          <w:hyperlink w:anchor="__RefHeading___Toc779_3032948006">
            <w:r>
              <w:rPr>
                <w:rStyle w:val="IndexLink"/>
              </w:rPr>
              <w:t>Salton Sea and IID Wastewater</w:t>
              <w:tab/>
              <w:t>21</w:t>
            </w:r>
          </w:hyperlink>
          <w:r>
            <w:rPr>
              <w:rStyle w:val="IndexLink"/>
            </w:rPr>
            <w:fldChar w:fldCharType="end"/>
          </w:r>
        </w:p>
      </w:sdtContent>
    </w:sdt>
    <w:p>
      <w:pPr>
        <w:pStyle w:val="Heading1"/>
        <w:rPr/>
      </w:pPr>
      <w:r>
        <w:rPr/>
      </w:r>
      <w:r>
        <w:br w:type="page"/>
      </w:r>
    </w:p>
    <w:p>
      <w:pPr>
        <w:pStyle w:val="Heading1"/>
        <w:rPr/>
      </w:pPr>
      <w:bookmarkStart w:id="0" w:name="__RefHeading___Toc15732_3941092844111"/>
      <w:bookmarkEnd w:id="0"/>
      <w:r>
        <w:rPr/>
        <w:t>Overview</w:t>
      </w:r>
    </w:p>
    <w:p>
      <w:pPr>
        <w:pStyle w:val="Normal"/>
        <w:spacing w:before="0" w:after="0"/>
        <w:rPr/>
      </w:pPr>
      <w:r>
        <w:rPr/>
        <w:t xml:space="preserve"> </w:t>
      </w:r>
      <w:r>
        <w:rPr/>
        <w:br/>
        <w:t>My goal here is to deter Central Arizona Project(CAP) from going down litigation road by clearly defining Upper Basin litigation strategies and to make them think twice</w:t>
      </w:r>
      <w:r>
        <w:rPr>
          <w:b w:val="false"/>
          <w:bCs w:val="false"/>
        </w:rPr>
        <w:t>. Numbers 2 and 3</w:t>
      </w:r>
      <w:r>
        <w:rPr/>
        <w:t xml:space="preserve"> should be close to actual Colorado and UCRC positions. Numbers 1 and 4 are not conventional wisdom, they are novel strategies.  My hope is these will also make California, Nevada and Yuma think twice before they go down this dangerous road with CAP.</w:t>
      </w:r>
    </w:p>
    <w:p>
      <w:pPr>
        <w:pStyle w:val="Normal"/>
        <w:spacing w:before="0" w:after="0"/>
        <w:rPr/>
      </w:pPr>
      <w:r>
        <w:rPr/>
      </w:r>
    </w:p>
    <w:p>
      <w:pPr>
        <w:pStyle w:val="Normal"/>
        <w:spacing w:before="0" w:after="0"/>
        <w:rPr/>
      </w:pPr>
      <w:r>
        <w:rPr>
          <w:b/>
          <w:bCs/>
        </w:rPr>
        <w:t>Disclaimer: I am a knowledgeable citizen but I do not speak for Colorado or the UCRC. I am not a lawyer. I am concerned the current doom loop in negotiations will not end well for anyone.</w:t>
      </w:r>
      <w:r>
        <w:rPr/>
        <w:br/>
        <w:br/>
        <w:t xml:space="preserve">1. </w:t>
      </w:r>
      <w:r>
        <w:rPr>
          <w:b/>
          <w:bCs/>
        </w:rPr>
        <w:t>Run of the River(ROTR)</w:t>
      </w:r>
      <w:r>
        <w:rPr/>
        <w:t xml:space="preserve"> in Lake Powell </w:t>
      </w:r>
      <w:r>
        <w:rPr>
          <w:b/>
          <w:bCs/>
        </w:rPr>
        <w:t>when all else fails</w:t>
      </w:r>
      <w:r>
        <w:rPr/>
        <w:t xml:space="preserve">. Turbines will be OK. We are OK with reverting to Long-Range Operating Criteria(LROC) with ROTR if there is no deal. Decoupling from Lower Basin will be wonderful but there will be litigation.  Lower Basin will get </w:t>
      </w:r>
      <w:r>
        <w:rPr>
          <w:b/>
          <w:bCs/>
        </w:rPr>
        <w:t>what the river provides</w:t>
      </w:r>
      <w:r>
        <w:rPr/>
        <w:t xml:space="preserve">, it will be a learning experience for them </w:t>
        <w:br/>
        <w:br/>
        <w:t xml:space="preserve">2. </w:t>
      </w:r>
      <w:r>
        <w:rPr>
          <w:b/>
          <w:bCs/>
        </w:rPr>
        <w:t>Article III(c)</w:t>
      </w:r>
      <w:r>
        <w:rPr/>
        <w:t xml:space="preserve"> – Upper Basin may contest the excessive Arizona interpretation of the Mexico obligation and curtailment based on an 8.25 maf 10 year moving average, a veiled threat, or statement of the obvious, by CAP’s Burman last week. This is the first tripwire which may be tripped by the end of this year or next. </w:t>
      </w:r>
      <w:r>
        <w:rPr>
          <w:b/>
          <w:bCs/>
        </w:rPr>
        <w:t>(Removed pending problem resolution)</w:t>
      </w:r>
      <w:r>
        <w:rPr/>
        <w:br/>
        <w:br/>
        <w:t xml:space="preserve">3. </w:t>
      </w:r>
      <w:r>
        <w:rPr>
          <w:b/>
          <w:bCs/>
        </w:rPr>
        <w:t>Article III(e)</w:t>
      </w:r>
      <w:r>
        <w:rPr/>
        <w:t xml:space="preserve"> - Upper Basin may contest the excessive Arizona interpretation which was the other basis of the threat used in 2007 to demand 9 MAF releases from Powell</w:t>
        <w:br/>
        <w:br/>
        <w:t xml:space="preserve">4. </w:t>
      </w:r>
      <w:r>
        <w:rPr>
          <w:b/>
          <w:bCs/>
        </w:rPr>
        <w:t>Section 603</w:t>
      </w:r>
      <w:r>
        <w:rPr/>
        <w:t xml:space="preserve"> - Upper Basin may invoke 603 because Arizona has been using the 2007 interim guidelines with “Sweet spot” gaming to crash Lake Powell and to push us into a compact call.</w:t>
      </w:r>
    </w:p>
    <w:p>
      <w:pPr>
        <w:pStyle w:val="Normal"/>
        <w:spacing w:before="0" w:after="0"/>
        <w:rPr>
          <w:b/>
          <w:b/>
          <w:bCs/>
        </w:rPr>
      </w:pPr>
      <w:r>
        <w:rPr>
          <w:b/>
          <w:bCs/>
        </w:rPr>
      </w:r>
    </w:p>
    <w:p>
      <w:pPr>
        <w:pStyle w:val="Normal"/>
        <w:rPr>
          <w:b/>
          <w:b/>
          <w:bCs/>
        </w:rPr>
      </w:pPr>
      <w:r>
        <w:rPr>
          <w:b/>
          <w:bCs/>
        </w:rPr>
        <w:t>No Position Taken:</w:t>
      </w:r>
    </w:p>
    <w:p>
      <w:pPr>
        <w:pStyle w:val="Normal"/>
        <w:rPr/>
      </w:pPr>
      <w:r>
        <w:rPr/>
        <w:t xml:space="preserve">1. </w:t>
      </w:r>
      <w:r>
        <w:rPr>
          <w:b/>
          <w:bCs/>
        </w:rPr>
        <w:t>Article III(d)</w:t>
      </w:r>
      <w:r>
        <w:rPr/>
        <w:t xml:space="preserve"> curtailment is not imminent, the Upper Basin argument is well known, I have nothing to add.</w:t>
      </w:r>
    </w:p>
    <w:p>
      <w:pPr>
        <w:pStyle w:val="Normal"/>
        <w:rPr/>
      </w:pPr>
      <w:r>
        <w:rPr/>
      </w:r>
      <w:r>
        <w:br w:type="page"/>
      </w:r>
    </w:p>
    <w:p>
      <w:pPr>
        <w:pStyle w:val="Normal"/>
        <w:rPr/>
      </w:pPr>
      <w:r>
        <w:rPr/>
      </w:r>
    </w:p>
    <w:p>
      <w:pPr>
        <w:pStyle w:val="Heading1"/>
        <w:rPr>
          <w:rFonts w:ascii="Liberation Sans" w:hAnsi="Liberation Sans"/>
        </w:rPr>
      </w:pPr>
      <w:bookmarkStart w:id="1" w:name="__RefHeading___Toc1370_3032948006"/>
      <w:bookmarkEnd w:id="1"/>
      <w:r>
        <w:rPr>
          <w:rFonts w:ascii="Liberation Sans" w:hAnsi="Liberation Sans"/>
        </w:rPr>
        <w:t xml:space="preserve">Foundational Principles – </w:t>
      </w:r>
      <w:r>
        <w:rPr>
          <w:rFonts w:ascii="Liberation Sans" w:hAnsi="Liberation Sans"/>
        </w:rPr>
        <w:t>V1.0</w:t>
      </w:r>
    </w:p>
    <w:p>
      <w:pPr>
        <w:pStyle w:val="TextBody"/>
        <w:rPr>
          <w:color w:val="313131"/>
        </w:rPr>
      </w:pPr>
      <w:r>
        <w:rPr>
          <w:color w:val="313131"/>
        </w:rPr>
      </w:r>
    </w:p>
    <w:p>
      <w:pPr>
        <w:pStyle w:val="Normal"/>
        <w:numPr>
          <w:ilvl w:val="0"/>
          <w:numId w:val="2"/>
        </w:numPr>
        <w:spacing w:before="0" w:after="0"/>
        <w:rPr/>
      </w:pPr>
      <w:r>
        <w:rPr>
          <w:b/>
          <w:bCs/>
        </w:rPr>
        <w:t>The Colorado River system has to work</w:t>
      </w:r>
      <w:r>
        <w:rPr/>
        <w:t>.  It needs to be in balance and sustainable,  For the river to work the math has to work.  There may be difficult choices ahead to achieve that end.</w:t>
      </w:r>
    </w:p>
    <w:p>
      <w:pPr>
        <w:pStyle w:val="Normal"/>
        <w:numPr>
          <w:ilvl w:val="0"/>
          <w:numId w:val="2"/>
        </w:numPr>
        <w:spacing w:before="0" w:after="0"/>
        <w:rPr/>
      </w:pPr>
      <w:r>
        <w:rPr>
          <w:b/>
          <w:bCs/>
        </w:rPr>
        <w:t>The United States must retain the ability to feed itself</w:t>
      </w:r>
      <w:r>
        <w:rPr/>
        <w:t xml:space="preserve">. In a tumultuous world, if we lose that ability, and the rest of the world chooses not </w:t>
      </w:r>
      <w:r>
        <w:rPr/>
        <w:t>to</w:t>
      </w:r>
      <w:r>
        <w:rPr/>
        <w:t xml:space="preserve"> feed us, we starve.</w:t>
      </w:r>
    </w:p>
    <w:p>
      <w:pPr>
        <w:pStyle w:val="Normal"/>
        <w:numPr>
          <w:ilvl w:val="0"/>
          <w:numId w:val="2"/>
        </w:numPr>
        <w:spacing w:before="0" w:after="0"/>
        <w:rPr/>
      </w:pPr>
      <w:r>
        <w:rPr>
          <w:b/>
          <w:bCs/>
        </w:rPr>
        <w:t xml:space="preserve">Good farm land is </w:t>
      </w:r>
      <w:r>
        <w:rPr>
          <w:b/>
          <w:bCs/>
        </w:rPr>
        <w:t>precious</w:t>
      </w:r>
      <w:r>
        <w:rPr/>
        <w:t xml:space="preserve">.  The best, most productive farmland, which is at the nexus of an ideal </w:t>
      </w:r>
      <w:r>
        <w:rPr/>
        <w:t>A</w:t>
      </w:r>
      <w:r>
        <w:rPr/>
        <w:t xml:space="preserve">g economy is </w:t>
      </w:r>
      <w:r>
        <w:rPr>
          <w:b/>
          <w:bCs/>
        </w:rPr>
        <w:t>sacred</w:t>
      </w:r>
      <w:r>
        <w:rPr/>
        <w:t>.  It must be protected and improved, not fallowed an</w:t>
      </w:r>
      <w:r>
        <w:rPr/>
        <w:t>d</w:t>
      </w:r>
      <w:r>
        <w:rPr/>
        <w:t xml:space="preserve"> lost.  </w:t>
      </w:r>
      <w:r>
        <w:rPr/>
        <w:t>Once good farm land is lost its hard to recover.</w:t>
      </w:r>
    </w:p>
    <w:p>
      <w:pPr>
        <w:pStyle w:val="Normal"/>
        <w:numPr>
          <w:ilvl w:val="0"/>
          <w:numId w:val="2"/>
        </w:numPr>
        <w:spacing w:before="0" w:after="0"/>
        <w:rPr/>
      </w:pPr>
      <w:r>
        <w:rPr>
          <w:b/>
          <w:bCs/>
        </w:rPr>
        <w:t xml:space="preserve">Good farmers are </w:t>
      </w:r>
      <w:r>
        <w:rPr>
          <w:b/>
          <w:bCs/>
        </w:rPr>
        <w:t>sacred</w:t>
      </w:r>
      <w:r>
        <w:rPr>
          <w:b/>
          <w:bCs/>
        </w:rPr>
        <w:t>, especially young ones.</w:t>
      </w:r>
      <w:r>
        <w:rPr/>
        <w:t xml:space="preserve">  They must be encouraged, assisted and protected, not drive</w:t>
      </w:r>
      <w:r>
        <w:rPr/>
        <w:t>n</w:t>
      </w:r>
      <w:r>
        <w:rPr/>
        <w:t xml:space="preserve"> o</w:t>
      </w:r>
      <w:r>
        <w:rPr/>
        <w:t>ut</w:t>
      </w:r>
      <w:r>
        <w:rPr/>
        <w:t xml:space="preserve"> of the life they love </w:t>
      </w:r>
      <w:r>
        <w:rPr/>
        <w:t>by a cruel, unappreciative world.</w:t>
      </w:r>
    </w:p>
    <w:p>
      <w:pPr>
        <w:pStyle w:val="Normal"/>
        <w:numPr>
          <w:ilvl w:val="0"/>
          <w:numId w:val="2"/>
        </w:numPr>
        <w:spacing w:before="0" w:after="0"/>
        <w:rPr/>
      </w:pPr>
      <w:r>
        <w:rPr>
          <w:b/>
          <w:bCs/>
        </w:rPr>
        <w:t>Cities must have adequate clean water</w:t>
      </w:r>
      <w:r>
        <w:rPr/>
        <w:t xml:space="preserve"> for health and safety, drinking, cooking, bathing and fire suppression.  </w:t>
      </w:r>
      <w:r>
        <w:rPr/>
        <w:t>Cities need green space, parks, swimming pools and even golf courses to be livable,.  Conversely finding the balance between enough outdoor water use and too much is the challenge.</w:t>
      </w:r>
    </w:p>
    <w:p>
      <w:pPr>
        <w:pStyle w:val="Normal"/>
        <w:numPr>
          <w:ilvl w:val="0"/>
          <w:numId w:val="2"/>
        </w:numPr>
        <w:spacing w:before="0" w:after="0"/>
        <w:rPr/>
      </w:pPr>
      <w:r>
        <w:rPr>
          <w:b/>
          <w:bCs/>
        </w:rPr>
        <w:t xml:space="preserve">Rural communities are </w:t>
      </w:r>
      <w:r>
        <w:rPr>
          <w:b/>
          <w:bCs/>
        </w:rPr>
        <w:t>sacred</w:t>
      </w:r>
      <w:r>
        <w:rPr/>
        <w:t xml:space="preserve">, </w:t>
      </w:r>
      <w:r>
        <w:rPr/>
        <w:t xml:space="preserve">Not everyone wants to live in a city. </w:t>
      </w:r>
      <w:r>
        <w:rPr/>
        <w:t xml:space="preserve">The devastation that has been wrought </w:t>
      </w:r>
      <w:r>
        <w:rPr/>
        <w:t xml:space="preserve">by fallowing </w:t>
      </w:r>
      <w:r>
        <w:rPr/>
        <w:t xml:space="preserve">needs to end. </w:t>
      </w:r>
    </w:p>
    <w:p>
      <w:pPr>
        <w:pStyle w:val="Normal"/>
        <w:numPr>
          <w:ilvl w:val="0"/>
          <w:numId w:val="2"/>
        </w:numPr>
        <w:spacing w:before="0" w:after="0"/>
        <w:rPr/>
      </w:pPr>
      <w:r>
        <w:rPr>
          <w:b/>
          <w:bCs/>
        </w:rPr>
        <w:t>Valuable ecosystems are sacred.</w:t>
      </w:r>
      <w:r>
        <w:rPr/>
        <w:t xml:space="preserve">  They must get enough water to thrive. Conversely marginal or doomed ecosystems shouldn’t use NEPA to drag down the entire system.</w:t>
      </w:r>
    </w:p>
    <w:p>
      <w:pPr>
        <w:pStyle w:val="Normal"/>
        <w:numPr>
          <w:ilvl w:val="0"/>
          <w:numId w:val="2"/>
        </w:numPr>
        <w:spacing w:before="0" w:after="0"/>
        <w:rPr>
          <w:b/>
          <w:b/>
          <w:bCs/>
        </w:rPr>
      </w:pPr>
      <w:r>
        <w:rPr>
          <w:b/>
          <w:bCs/>
        </w:rPr>
        <w:t xml:space="preserve">Water Speculation must be discouraged </w:t>
      </w:r>
      <w:r>
        <w:rPr>
          <w:b w:val="false"/>
          <w:bCs w:val="false"/>
        </w:rPr>
        <w:t>without compromising free market principles</w:t>
      </w:r>
    </w:p>
    <w:p>
      <w:pPr>
        <w:pStyle w:val="Normal"/>
        <w:numPr>
          <w:ilvl w:val="0"/>
          <w:numId w:val="2"/>
        </w:numPr>
        <w:spacing w:before="0" w:after="0"/>
        <w:rPr/>
      </w:pPr>
      <w:r>
        <w:rPr>
          <w:b/>
          <w:bCs/>
        </w:rPr>
        <w:t>T</w:t>
      </w:r>
      <w:r>
        <w:rPr>
          <w:b/>
          <w:bCs/>
        </w:rPr>
        <w:t>he Upper Basin must not be sacrificed</w:t>
      </w:r>
      <w:r>
        <w:rPr/>
        <w:t xml:space="preserve"> because it can’t compete with the ideal conditions in the Lower Basin.  The price the Lower Basin paid to get the high dam that creates those ideal conditions was the Colorado River Compact and the </w:t>
      </w:r>
      <w:r>
        <w:rPr/>
        <w:t>obscure</w:t>
      </w:r>
      <w:r>
        <w:rPr/>
        <w:t xml:space="preserve"> wall between the two basins in Article III(a):</w:t>
      </w:r>
    </w:p>
    <w:p>
      <w:pPr>
        <w:pStyle w:val="Normal"/>
        <w:spacing w:before="0" w:after="0"/>
        <w:ind w:left="1440" w:hanging="0"/>
        <w:rPr>
          <w:i/>
          <w:i/>
          <w:iCs/>
        </w:rPr>
      </w:pPr>
      <w:r>
        <w:rPr>
          <w:i/>
          <w:iCs/>
        </w:rPr>
        <w:t xml:space="preserve">(a) There is hereby apportioned from the Colorado River System in perpetuity to the Upper Basin and to the Lower Basin, respectively, the </w:t>
      </w:r>
      <w:r>
        <w:rPr>
          <w:b/>
          <w:bCs/>
          <w:i/>
          <w:iCs/>
        </w:rPr>
        <w:t>exclusive beneficial consumptive use</w:t>
      </w:r>
      <w:r>
        <w:rPr>
          <w:i/>
          <w:iCs/>
        </w:rPr>
        <w:t xml:space="preserve"> of 7,500,000 acre-feet of </w:t>
      </w:r>
      <w:r>
        <w:rPr>
          <w:i/>
          <w:iCs/>
        </w:rPr>
        <w:t>water…</w:t>
      </w:r>
    </w:p>
    <w:p>
      <w:pPr>
        <w:pStyle w:val="Normal"/>
        <w:spacing w:before="0" w:after="0"/>
        <w:ind w:left="720" w:hanging="0"/>
        <w:rPr/>
      </w:pPr>
      <w:r>
        <w:rPr>
          <w:i/>
          <w:iCs/>
        </w:rPr>
        <w:t>Before the high dam the Lower Colorado flooded in the spring and went dry in th</w:t>
      </w:r>
      <w:r>
        <w:rPr>
          <w:i/>
          <w:iCs/>
        </w:rPr>
        <w:t xml:space="preserve">e </w:t>
      </w:r>
      <w:r>
        <w:rPr>
          <w:i/>
          <w:iCs/>
        </w:rPr>
        <w:t>Winter</w:t>
      </w:r>
      <w:r>
        <w:rPr>
          <w:i/>
          <w:iCs/>
        </w:rPr>
        <w:t>,</w:t>
      </w:r>
      <w:r>
        <w:rPr>
          <w:i/>
          <w:iCs/>
        </w:rPr>
        <w:t xml:space="preserve"> the Winter agriculture which now makes the Lower Basin special was</w:t>
      </w:r>
      <w:r>
        <w:rPr>
          <w:i/>
          <w:iCs/>
        </w:rPr>
        <w:t>n’t</w:t>
      </w:r>
      <w:r>
        <w:rPr>
          <w:i/>
          <w:iCs/>
        </w:rPr>
        <w:t xml:space="preserve"> </w:t>
      </w:r>
      <w:r>
        <w:rPr>
          <w:i/>
          <w:iCs/>
        </w:rPr>
        <w:t>there</w:t>
      </w:r>
      <w:r>
        <w:rPr>
          <w:i/>
          <w:iCs/>
        </w:rPr>
        <w:t xml:space="preserve">.  </w:t>
      </w:r>
      <w:r>
        <w:rPr>
          <w:i/>
          <w:iCs/>
        </w:rPr>
        <w:t>The high dam provided the power and water that made its cities thrive</w:t>
      </w:r>
      <w:r>
        <w:br w:type="page"/>
      </w:r>
    </w:p>
    <w:p>
      <w:pPr>
        <w:pStyle w:val="Heading1"/>
        <w:rPr/>
      </w:pPr>
      <w:bookmarkStart w:id="2" w:name="__RefHeading___Toc755_3032948006"/>
      <w:bookmarkEnd w:id="2"/>
      <w:r>
        <w:rPr/>
        <w:t>Operations and NEPA</w:t>
      </w:r>
    </w:p>
    <w:p>
      <w:pPr>
        <w:pStyle w:val="Heading2"/>
        <w:rPr/>
      </w:pPr>
      <w:bookmarkStart w:id="3" w:name="__RefHeading___Toc757_3032948006"/>
      <w:bookmarkEnd w:id="3"/>
      <w:r>
        <w:rPr/>
        <w:t>Run-of-the-River Operations at Glen Canyon Dam</w:t>
      </w:r>
    </w:p>
    <w:p>
      <w:pPr>
        <w:pStyle w:val="Normal"/>
        <w:spacing w:before="0" w:after="0"/>
        <w:rPr/>
      </w:pPr>
      <w:r>
        <w:rPr/>
      </w:r>
    </w:p>
    <w:p>
      <w:pPr>
        <w:pStyle w:val="Normal"/>
        <w:spacing w:before="0" w:after="0"/>
        <w:rPr/>
      </w:pPr>
      <w:r>
        <w:rPr>
          <w:b/>
          <w:bCs/>
        </w:rPr>
        <w:t>Objective 1</w:t>
      </w:r>
      <w:r>
        <w:rPr/>
        <w:t>: Lake Powell had real value to the Upper Basin in the 80’s and 90’s when there were surplus inflows stored there.  Those days are over.  Rather than appreciating and cherishing that precious reserve Arizona took it for granted. They used litigation threats and gaming to abuse it. Since 2007 it’s become a liability to the Upper Basin as the Lower Basin drained it to mitigate a problem, the structural deficit, entirely of their making.  Since Lake Powell is now being used to squeeze the Upper Basin for water instead of protect us it may be time to let it go.</w:t>
      </w:r>
    </w:p>
    <w:p>
      <w:pPr>
        <w:pStyle w:val="Normal"/>
        <w:spacing w:before="0" w:after="0"/>
        <w:rPr/>
      </w:pPr>
      <w:r>
        <w:rPr/>
      </w:r>
    </w:p>
    <w:p>
      <w:pPr>
        <w:pStyle w:val="Normal"/>
        <w:spacing w:before="0" w:after="0"/>
        <w:rPr/>
      </w:pPr>
      <w:r>
        <w:rPr>
          <w:b/>
          <w:bCs/>
        </w:rPr>
        <w:t>Objective 2</w:t>
      </w:r>
      <w:r>
        <w:rPr/>
        <w:t>: The 2007 Interim Guidelines are “Interim” for a reason.  When they were signed the Upper Basin knew they would fail, they wouldn’t fix anything.  They agreed to them only because threatened litigation was worse.  Despite the Bureau’s claims to the contrary, and in absence of a seven states compromise, I am relatively certain the only path forward is to revert to the Long Range Operating Criteria backed by Run of the River to protect the power head and turbines in Lake Powell, and this is OK. The Bureau has no authority to impose an arbitrary new alternative on the seven states though they do have the authority to protect their infrastructure and endangered fish.</w:t>
      </w:r>
    </w:p>
    <w:p>
      <w:pPr>
        <w:pStyle w:val="Normal"/>
        <w:spacing w:before="0" w:after="0"/>
        <w:rPr/>
      </w:pPr>
      <w:r>
        <w:rPr/>
      </w:r>
    </w:p>
    <w:p>
      <w:pPr>
        <w:pStyle w:val="Normal"/>
        <w:spacing w:before="0" w:after="0"/>
        <w:rPr/>
      </w:pPr>
      <w:r>
        <w:rPr>
          <w:b/>
          <w:bCs/>
        </w:rPr>
        <w:t>Objective 3:</w:t>
      </w:r>
      <w:r>
        <w:rPr>
          <w:b w:val="false"/>
          <w:bCs w:val="false"/>
        </w:rPr>
        <w:t xml:space="preserve"> T</w:t>
      </w:r>
      <w:r>
        <w:rPr/>
        <w:t>o counter inflammatory rhetoric, terms like “crashed river”, “dancing with dead pool” and “turbines will stop turning” being used to pressure and rush stakeholders, like those of us in Colorado, into accepting deep cuts in our Compact water use.  The river will instead be OK, not great, but OK.</w:t>
      </w:r>
    </w:p>
    <w:p>
      <w:pPr>
        <w:pStyle w:val="Normal"/>
        <w:spacing w:before="0" w:after="0"/>
        <w:rPr/>
      </w:pPr>
      <w:r>
        <w:rPr/>
      </w:r>
    </w:p>
    <w:p>
      <w:pPr>
        <w:pStyle w:val="Normal"/>
        <w:spacing w:before="0" w:after="0"/>
        <w:rPr/>
      </w:pPr>
      <w:r>
        <w:rPr/>
        <w:t>As outlined in this 2024 Technical Memo the Bureau can not risk using bypass tubes to operate the Colorado River below Glen Canyon if they lose the power head at 3490’.</w:t>
      </w:r>
    </w:p>
    <w:p>
      <w:pPr>
        <w:pStyle w:val="Normal"/>
        <w:spacing w:before="0" w:after="0"/>
        <w:rPr/>
      </w:pPr>
      <w:r>
        <w:rPr/>
      </w:r>
    </w:p>
    <w:p>
      <w:pPr>
        <w:pStyle w:val="Normal"/>
        <w:spacing w:before="0" w:after="0"/>
        <w:ind w:left="720" w:hanging="0"/>
        <w:rPr/>
      </w:pPr>
      <w:hyperlink r:id="rId3">
        <w:r>
          <w:rPr>
            <w:rStyle w:val="InternetLink"/>
          </w:rPr>
          <w:t>Establishment of Interim Operating Guidance for Glen Canyon Dam</w:t>
        </w:r>
      </w:hyperlink>
    </w:p>
    <w:p>
      <w:pPr>
        <w:pStyle w:val="Normal"/>
        <w:spacing w:before="0" w:after="0"/>
        <w:ind w:left="720" w:hanging="0"/>
        <w:rPr/>
      </w:pPr>
      <w:r>
        <w:rPr/>
        <w:t>Richard LaFond</w:t>
      </w:r>
    </w:p>
    <w:p>
      <w:pPr>
        <w:pStyle w:val="Normal"/>
        <w:spacing w:before="0" w:after="0"/>
        <w:ind w:left="720" w:hanging="0"/>
        <w:rPr/>
      </w:pPr>
      <w:r>
        <w:rPr/>
        <w:t>Date: 2024.03.27</w:t>
      </w:r>
    </w:p>
    <w:p>
      <w:pPr>
        <w:pStyle w:val="Normal"/>
        <w:spacing w:before="0" w:after="0"/>
        <w:ind w:left="720" w:hanging="0"/>
        <w:rPr/>
      </w:pPr>
      <w:r>
        <w:rPr/>
        <w:t>Director, Technical Service Center</w:t>
      </w:r>
    </w:p>
    <w:p>
      <w:pPr>
        <w:pStyle w:val="Normal"/>
        <w:spacing w:before="0" w:after="0"/>
        <w:rPr/>
      </w:pPr>
      <w:r>
        <w:rPr/>
      </w:r>
    </w:p>
    <w:p>
      <w:pPr>
        <w:pStyle w:val="Normal"/>
        <w:spacing w:before="0" w:after="0"/>
        <w:rPr/>
      </w:pPr>
      <w:r>
        <w:rPr/>
        <w:t xml:space="preserve">The Bureau already has authority, in fact an obligation, to protect their infrastructure and endangered fish. Therefor, before Lake Powell loses its power head the Bureau will set a power head elevation they are going to defend, possibly 3510’, Eric Kuhn uses 3500’. </w:t>
      </w:r>
    </w:p>
    <w:p>
      <w:pPr>
        <w:pStyle w:val="Normal"/>
        <w:spacing w:before="0" w:after="0"/>
        <w:rPr/>
      </w:pPr>
      <w:r>
        <w:rPr/>
        <w:br/>
        <w:t>Reservoir coordination with Lake Mead and releases called for in whatever guidelines are in force will end and the Bureau will switch to Run of the River(ROTR), flow matching on an annualized basis:</w:t>
        <w:br/>
      </w:r>
    </w:p>
    <w:p>
      <w:pPr>
        <w:pStyle w:val="Normal"/>
        <w:spacing w:before="0" w:after="0"/>
        <w:ind w:left="720" w:hanging="0"/>
        <w:rPr/>
      </w:pPr>
      <w:r>
        <w:rPr/>
        <w:t>Outflow = Inflow - Losses</w:t>
      </w:r>
    </w:p>
    <w:p>
      <w:pPr>
        <w:pStyle w:val="Normal"/>
        <w:spacing w:before="0" w:after="0"/>
        <w:ind w:left="0" w:hanging="0"/>
        <w:rPr/>
      </w:pPr>
      <w:r>
        <w:rPr/>
      </w:r>
    </w:p>
    <w:p>
      <w:pPr>
        <w:pStyle w:val="Normal"/>
        <w:spacing w:before="0" w:after="0"/>
        <w:ind w:left="0" w:hanging="0"/>
        <w:rPr/>
      </w:pPr>
      <w:r>
        <w:rPr/>
        <w:t>Glen Canyon will be generating power and revenue though output will be limited by the low power head. This is good.</w:t>
      </w:r>
    </w:p>
    <w:p>
      <w:pPr>
        <w:pStyle w:val="Normal"/>
        <w:spacing w:before="0" w:after="0"/>
        <w:ind w:left="0" w:hanging="0"/>
        <w:rPr/>
      </w:pPr>
      <w:r>
        <w:rPr/>
        <w:br/>
        <w:t>Fish have flows so their bellies aren’t on the bottom of the river :)  Fish experts like Jack Schmidt will need to weigh in on this flow regime.  If bypass tubes are used and they fail after loss of power head flows could be lost in the Grand Canyon imperiling endangered fish.  This is bad.</w:t>
      </w:r>
    </w:p>
    <w:p>
      <w:pPr>
        <w:pStyle w:val="Normal"/>
        <w:spacing w:before="0" w:after="0"/>
        <w:ind w:left="0" w:hanging="0"/>
        <w:rPr/>
      </w:pPr>
      <w:r>
        <w:rPr/>
      </w:r>
    </w:p>
    <w:p>
      <w:pPr>
        <w:pStyle w:val="Normal"/>
        <w:spacing w:before="0" w:after="0"/>
        <w:ind w:left="0" w:hanging="0"/>
        <w:rPr/>
      </w:pPr>
      <w:r>
        <w:rPr/>
        <w:t>In Glen Canyon, at low head, I think one turbine needs 1,600–2,300 cfs (per Reclamation estimates). This equates to roughly 1.2–1.7 MAF. Another common figure used is a conservative 2.3 MAF for one year’s operation.  As spring runoff winds down the Bureau must insure there will be enough water in the lake to reach the start of the next Spring runoff.</w:t>
      </w:r>
    </w:p>
    <w:p>
      <w:pPr>
        <w:pStyle w:val="Normal"/>
        <w:spacing w:before="0" w:after="0"/>
        <w:ind w:left="0" w:hanging="0"/>
        <w:rPr/>
      </w:pPr>
      <w:r>
        <w:rPr/>
      </w:r>
    </w:p>
    <w:p>
      <w:pPr>
        <w:pStyle w:val="Normal"/>
        <w:spacing w:before="0" w:after="0"/>
        <w:ind w:left="0" w:hanging="0"/>
        <w:rPr/>
      </w:pPr>
      <w:r>
        <w:rPr/>
        <w:t>They would hopefully be running 2 or 3 turbines, they can turn a turbine off and on to fine tune the target</w:t>
      </w:r>
    </w:p>
    <w:p>
      <w:pPr>
        <w:pStyle w:val="Normal"/>
        <w:spacing w:before="0" w:after="0"/>
        <w:ind w:left="0" w:hanging="0"/>
        <w:rPr/>
      </w:pPr>
      <w:r>
        <w:rPr/>
        <w:br/>
        <w:t>The river can run like this indefinitely if Bureau ops people are careful. Hopefully there will be no catastrophic crisis which is key here.</w:t>
      </w:r>
    </w:p>
    <w:p>
      <w:pPr>
        <w:pStyle w:val="Normal"/>
        <w:spacing w:before="0" w:after="0"/>
        <w:ind w:left="0" w:hanging="0"/>
        <w:rPr/>
      </w:pPr>
      <w:r>
        <w:rPr/>
      </w:r>
    </w:p>
    <w:p>
      <w:pPr>
        <w:pStyle w:val="Normal"/>
        <w:spacing w:before="0" w:after="0"/>
        <w:ind w:left="0" w:hanging="0"/>
        <w:rPr/>
      </w:pPr>
      <w:r>
        <w:rPr/>
        <w:t xml:space="preserve">When Powell is in ROTR coordination will be significantly restricted and the two basins will be somewhat decoupled.  As long as the Lower Basin can’t use Lake Mead elevations to drawn down Lake Powell, there is nothing to draw, what the Bureau and the Lower Basin do regarding shortages and assigned water becomes irrelevant.  The alternatives being considered could also be decoupled in this scenario as a result. </w:t>
      </w:r>
    </w:p>
    <w:p>
      <w:pPr>
        <w:pStyle w:val="Normal"/>
        <w:spacing w:before="0" w:after="0"/>
        <w:ind w:left="0" w:hanging="0"/>
        <w:rPr/>
      </w:pPr>
      <w:r>
        <w:rPr/>
      </w:r>
    </w:p>
    <w:p>
      <w:pPr>
        <w:pStyle w:val="Normal"/>
        <w:spacing w:before="0" w:after="0"/>
        <w:ind w:left="0" w:hanging="0"/>
        <w:rPr/>
      </w:pPr>
      <w:r>
        <w:rPr/>
        <w:t>If snow pack improves you can easily revert to guideline releases.  Then the basins would recouple and coordination would matter again.</w:t>
      </w:r>
    </w:p>
    <w:p>
      <w:pPr>
        <w:pStyle w:val="Normal"/>
        <w:spacing w:before="0" w:after="0"/>
        <w:ind w:left="0" w:hanging="0"/>
        <w:rPr/>
      </w:pPr>
      <w:r>
        <w:rPr/>
      </w:r>
    </w:p>
    <w:p>
      <w:pPr>
        <w:pStyle w:val="Normal"/>
        <w:spacing w:before="0" w:after="0"/>
        <w:ind w:left="0" w:hanging="0"/>
        <w:rPr/>
      </w:pPr>
      <w:r>
        <w:rPr/>
        <w:t>ROTR is included in one DEIS alternative, Maximum Flexibility submitted by the NGO’s.  It predictably performs much better protecting critical elevation than the others. In extreme traces like the one we are in this year critical elevation can still be breached if the next year’s spring runoff is less than the minimum to operate one turbine.</w:t>
      </w:r>
    </w:p>
    <w:p>
      <w:pPr>
        <w:pStyle w:val="Normal"/>
        <w:spacing w:before="0" w:after="0"/>
        <w:ind w:left="0" w:hanging="0"/>
        <w:rPr/>
      </w:pPr>
      <w:r>
        <w:rPr/>
      </w:r>
    </w:p>
    <w:p>
      <w:pPr>
        <w:pStyle w:val="Normal"/>
        <w:spacing w:before="0" w:after="0"/>
        <w:ind w:left="0" w:hanging="0"/>
        <w:rPr/>
      </w:pPr>
      <w:r>
        <w:rPr/>
        <w:t>It is highly desirable that initial units like Flaming Gorge retain as much usable water as possible so that, in event of a catastrophic inflow year like the current one, power head can be maintained in Lake Powell. This can be justified by protection of infrastructure under coordinated operations.</w:t>
      </w:r>
    </w:p>
    <w:p>
      <w:pPr>
        <w:pStyle w:val="Normal"/>
        <w:spacing w:before="0" w:after="0"/>
        <w:ind w:left="0" w:hanging="0"/>
        <w:rPr/>
      </w:pPr>
      <w:r>
        <w:rPr/>
      </w:r>
    </w:p>
    <w:p>
      <w:pPr>
        <w:pStyle w:val="Normal"/>
        <w:spacing w:before="0" w:after="0"/>
        <w:ind w:left="0" w:hanging="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15595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5943600" cy="3155950"/>
                    </a:xfrm>
                    <a:prstGeom prst="rect">
                      <a:avLst/>
                    </a:prstGeom>
                  </pic:spPr>
                </pic:pic>
              </a:graphicData>
            </a:graphic>
          </wp:anchor>
        </w:drawing>
      </w:r>
    </w:p>
    <w:p>
      <w:pPr>
        <w:pStyle w:val="Normal"/>
        <w:rPr/>
      </w:pPr>
      <w:r>
        <w:rPr/>
      </w:r>
    </w:p>
    <w:p>
      <w:pPr>
        <w:pStyle w:val="Normal"/>
        <w:rPr/>
      </w:pPr>
      <w:r>
        <w:rPr/>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30708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5943600" cy="3307080"/>
                    </a:xfrm>
                    <a:prstGeom prst="rect">
                      <a:avLst/>
                    </a:prstGeom>
                  </pic:spPr>
                </pic:pic>
              </a:graphicData>
            </a:graphic>
          </wp:anchor>
        </w:drawing>
      </w:r>
      <w:r>
        <w:br w:type="page"/>
      </w:r>
    </w:p>
    <w:p>
      <w:pPr>
        <w:pStyle w:val="Heading1"/>
        <w:rPr/>
      </w:pPr>
      <w:bookmarkStart w:id="4" w:name="__RefHeading___Toc759_3032948006"/>
      <w:bookmarkEnd w:id="4"/>
      <w:r>
        <w:rPr/>
        <w:t>Litigation</w:t>
      </w:r>
    </w:p>
    <w:p>
      <w:pPr>
        <w:pStyle w:val="Normal"/>
        <w:rPr/>
      </w:pPr>
      <w:r>
        <w:rPr/>
      </w:r>
    </w:p>
    <w:p>
      <w:pPr>
        <w:pStyle w:val="Heading2"/>
        <w:spacing w:before="0" w:after="0"/>
        <w:rPr/>
      </w:pPr>
      <w:bookmarkStart w:id="5" w:name="__RefHeading___Toc761_3032948006"/>
      <w:bookmarkEnd w:id="5"/>
      <w:r>
        <w:rPr/>
        <w:t>Article III(c) Interpretation</w:t>
      </w:r>
    </w:p>
    <w:p>
      <w:pPr>
        <w:pStyle w:val="Normal"/>
        <w:spacing w:before="0" w:after="0"/>
        <w:rPr>
          <w:b w:val="false"/>
          <w:b w:val="false"/>
          <w:bCs w:val="false"/>
        </w:rPr>
      </w:pPr>
      <w:r>
        <w:rPr>
          <w:b w:val="false"/>
          <w:bCs w:val="false"/>
        </w:rPr>
      </w:r>
    </w:p>
    <w:p>
      <w:pPr>
        <w:pStyle w:val="Normal"/>
        <w:spacing w:before="0" w:after="0"/>
        <w:rPr/>
      </w:pPr>
      <w:r>
        <w:rPr>
          <w:b/>
          <w:bCs/>
        </w:rPr>
        <w:t>Objective</w:t>
      </w:r>
      <w:r>
        <w:rPr/>
        <w:t>: Counter Arizona's expansive interpretation of Article III(c) to restore balance</w:t>
      </w:r>
    </w:p>
    <w:p>
      <w:pPr>
        <w:pStyle w:val="Normal"/>
        <w:spacing w:before="0" w:after="0"/>
        <w:rPr/>
      </w:pPr>
      <w:r>
        <w:rPr/>
      </w:r>
    </w:p>
    <w:p>
      <w:pPr>
        <w:pStyle w:val="Normal"/>
        <w:spacing w:before="0" w:after="0"/>
        <w:ind w:left="720" w:hanging="0"/>
        <w:rPr/>
      </w:pPr>
      <w:r>
        <w:rPr/>
        <w:t>“</w:t>
      </w:r>
      <w:r>
        <w:rPr>
          <w:i/>
          <w:iCs/>
        </w:rPr>
        <w:t>We may breach the compact in 2026, and almost certainly it will be breached in 2027…sobering news, it’s something that hasn’t happened before, our Upper Basin neighbors have always met that obligation in the past</w:t>
      </w:r>
      <w:r>
        <w:rPr/>
        <w:t xml:space="preserve">” </w:t>
      </w:r>
    </w:p>
    <w:p>
      <w:pPr>
        <w:pStyle w:val="Normal"/>
        <w:spacing w:before="0" w:after="0"/>
        <w:ind w:left="720" w:hanging="0"/>
        <w:rPr/>
      </w:pPr>
      <w:r>
        <w:rPr/>
        <w:t>Brenda Burman, General Manager, Central Arizona Project</w:t>
      </w:r>
    </w:p>
    <w:p>
      <w:pPr>
        <w:pStyle w:val="Normal"/>
        <w:spacing w:before="0" w:after="0"/>
        <w:rPr/>
      </w:pPr>
      <w:r>
        <w:rPr/>
        <w:br/>
        <w:t>Burman is talking about breaching Arizona’s interpretation of the compact which includes half of the Article III(c) Mexico obligation on top of Articles III(d)’s 7.5 MAF so 8.25 MAF over a 10 year moving average. Colorado doesn’t recognize this interpretation.</w:t>
      </w:r>
    </w:p>
    <w:p>
      <w:pPr>
        <w:pStyle w:val="Normal"/>
        <w:spacing w:before="0" w:after="0"/>
        <w:rPr/>
      </w:pPr>
      <w:r>
        <w:rPr/>
      </w:r>
    </w:p>
    <w:p>
      <w:pPr>
        <w:pStyle w:val="Normal"/>
        <w:spacing w:before="0" w:after="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2968625"/>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6"/>
                    <a:stretch>
                      <a:fillRect/>
                    </a:stretch>
                  </pic:blipFill>
                  <pic:spPr bwMode="auto">
                    <a:xfrm>
                      <a:off x="0" y="0"/>
                      <a:ext cx="5943600" cy="2968625"/>
                    </a:xfrm>
                    <a:prstGeom prst="rect">
                      <a:avLst/>
                    </a:prstGeom>
                  </pic:spPr>
                </pic:pic>
              </a:graphicData>
            </a:graphic>
          </wp:anchor>
        </w:drawing>
      </w:r>
    </w:p>
    <w:p>
      <w:pPr>
        <w:pStyle w:val="Heading3"/>
        <w:spacing w:before="0" w:after="0"/>
        <w:rPr/>
      </w:pPr>
      <w:bookmarkStart w:id="6" w:name="__RefHeading___Toc763_3032948006"/>
      <w:bookmarkEnd w:id="6"/>
      <w:r>
        <w:rPr/>
        <w:t>Background – This is Complicated, Sorry</w:t>
      </w:r>
    </w:p>
    <w:p>
      <w:pPr>
        <w:pStyle w:val="Normal"/>
        <w:spacing w:before="0" w:after="0"/>
        <w:rPr/>
      </w:pPr>
      <w:r>
        <w:rPr/>
        <w:t xml:space="preserve">There is problematic language in the </w:t>
      </w:r>
      <w:hyperlink r:id="rId7">
        <w:r>
          <w:rPr>
            <w:rStyle w:val="InternetLink"/>
          </w:rPr>
          <w:t>1922 Colorado River Compact</w:t>
        </w:r>
      </w:hyperlink>
    </w:p>
    <w:p>
      <w:pPr>
        <w:pStyle w:val="Normal"/>
        <w:spacing w:before="0" w:after="0"/>
        <w:rPr/>
      </w:pPr>
      <w:r>
        <w:rPr/>
      </w:r>
    </w:p>
    <w:p>
      <w:pPr>
        <w:pStyle w:val="Normal"/>
        <w:spacing w:before="0" w:after="0"/>
        <w:ind w:left="720" w:hanging="0"/>
        <w:rPr>
          <w:i/>
          <w:i/>
          <w:iCs/>
        </w:rPr>
      </w:pPr>
      <w:r>
        <w:rPr>
          <w:i/>
          <w:iCs/>
        </w:rPr>
        <w:t xml:space="preserve">(c) If, as a matter of international comity, the United States of America shall hereafter recognize in the United States of Mexico any right to the use of any waters of the Colorado River System, such waters shall be supplied first from the waters which are </w:t>
      </w:r>
      <w:r>
        <w:rPr>
          <w:b/>
          <w:bCs/>
          <w:i/>
          <w:iCs/>
        </w:rPr>
        <w:t>surplus over and above the aggregate of the quantities specified in paragraphs (a) and (b);</w:t>
      </w:r>
      <w:r>
        <w:rPr>
          <w:i/>
          <w:iCs/>
        </w:rPr>
        <w:t xml:space="preserve"> and if such surplus shall prove insufficient for this purpose, then, </w:t>
      </w:r>
      <w:r>
        <w:rPr>
          <w:b/>
          <w:bCs/>
          <w:i/>
          <w:iCs/>
        </w:rPr>
        <w:t>the burden of such deficiency shall be equally borne by the Upper Basin and the Lower Basin</w:t>
      </w:r>
      <w:r>
        <w:rPr>
          <w:i/>
          <w:iCs/>
        </w:rPr>
        <w:t xml:space="preserve">, and whenever necessary the </w:t>
      </w:r>
      <w:r>
        <w:rPr>
          <w:b/>
          <w:bCs/>
          <w:i/>
          <w:iCs/>
        </w:rPr>
        <w:t>States of the Upper Division shall deliver at Lee Ferry water to supply one-half of the deficiency so recognized in addition to that provided in paragraph (d)</w:t>
      </w:r>
      <w:r>
        <w:rPr>
          <w:i/>
          <w:iCs/>
        </w:rPr>
        <w:t>.</w:t>
      </w:r>
    </w:p>
    <w:p>
      <w:pPr>
        <w:pStyle w:val="Normal"/>
        <w:spacing w:before="0" w:after="0"/>
        <w:rPr>
          <w:i/>
          <w:i/>
          <w:iCs/>
        </w:rPr>
      </w:pPr>
      <w:r>
        <w:rPr>
          <w:i/>
          <w:iCs/>
        </w:rPr>
      </w:r>
    </w:p>
    <w:p>
      <w:pPr>
        <w:pStyle w:val="Normal"/>
        <w:spacing w:before="0" w:after="0"/>
        <w:rPr>
          <w:i w:val="false"/>
          <w:i w:val="false"/>
          <w:iCs w:val="false"/>
        </w:rPr>
      </w:pPr>
      <w:r>
        <w:rPr>
          <w:i w:val="false"/>
          <w:iCs w:val="false"/>
        </w:rPr>
        <w:t xml:space="preserve">The first problem is how do you determine whether the Colorado is in surplus or deficit.  The probable interpretation by the people who wrote this thing, who thought they had a really big river is.  </w:t>
      </w:r>
      <w:r>
        <w:rPr>
          <w:b/>
          <w:bCs/>
          <w:i w:val="false"/>
          <w:iCs w:val="false"/>
        </w:rPr>
        <w:t>They were thinking of natural flow at the border so surplus water above the full entitlements for the Upper and Lower Basins would be what actually flowed to Mexico:</w:t>
      </w:r>
    </w:p>
    <w:p>
      <w:pPr>
        <w:pStyle w:val="Normal"/>
        <w:spacing w:before="0" w:after="0"/>
        <w:rPr>
          <w:i w:val="false"/>
          <w:i w:val="false"/>
          <w:iCs w:val="false"/>
        </w:rPr>
      </w:pPr>
      <w:r>
        <w:rPr>
          <w:i w:val="false"/>
          <w:iCs w:val="false"/>
        </w:rPr>
      </w:r>
    </w:p>
    <w:p>
      <w:pPr>
        <w:pStyle w:val="Normal"/>
        <w:spacing w:before="0" w:after="0"/>
        <w:ind w:left="720" w:hanging="0"/>
        <w:rPr>
          <w:i w:val="false"/>
          <w:i w:val="false"/>
          <w:iCs w:val="false"/>
        </w:rPr>
      </w:pPr>
      <w:r>
        <w:rPr>
          <w:i w:val="false"/>
          <w:iCs w:val="false"/>
        </w:rPr>
        <w:t>16 MAF = 7.5 Lower Basin(A) + 1.0 Lower Basin(B) + 7.5 Upper Basin(A)</w:t>
      </w:r>
    </w:p>
    <w:p>
      <w:pPr>
        <w:pStyle w:val="Normal"/>
        <w:spacing w:before="0" w:after="0"/>
        <w:ind w:left="0" w:hanging="0"/>
        <w:rPr>
          <w:i w:val="false"/>
          <w:i w:val="false"/>
          <w:iCs w:val="false"/>
        </w:rPr>
      </w:pPr>
      <w:r>
        <w:rPr>
          <w:i w:val="false"/>
          <w:iCs w:val="false"/>
        </w:rPr>
      </w:r>
    </w:p>
    <w:p>
      <w:pPr>
        <w:pStyle w:val="Normal"/>
        <w:spacing w:before="0" w:after="0"/>
        <w:ind w:left="0" w:hanging="0"/>
        <w:rPr>
          <w:i w:val="false"/>
          <w:i w:val="false"/>
          <w:iCs w:val="false"/>
        </w:rPr>
      </w:pPr>
      <w:r>
        <w:rPr>
          <w:i w:val="false"/>
          <w:iCs w:val="false"/>
        </w:rPr>
        <w:t xml:space="preserve">If this interpretation is correct we are ALWAYS in a deficit because this only works on a fully utilized river much bigger than it actually is. Its a little nuts, so go to </w:t>
      </w:r>
      <w:r>
        <w:rPr>
          <w:b/>
          <w:bCs/>
          <w:i w:val="false"/>
          <w:iCs w:val="false"/>
        </w:rPr>
        <w:t>Scenario 1.</w:t>
      </w:r>
    </w:p>
    <w:p>
      <w:pPr>
        <w:pStyle w:val="Normal"/>
        <w:spacing w:before="0" w:after="0"/>
        <w:ind w:left="0" w:hanging="0"/>
        <w:rPr>
          <w:i w:val="false"/>
          <w:i w:val="false"/>
          <w:iCs w:val="false"/>
        </w:rPr>
      </w:pPr>
      <w:r>
        <w:rPr>
          <w:i w:val="false"/>
          <w:iCs w:val="false"/>
        </w:rPr>
      </w:r>
    </w:p>
    <w:p>
      <w:pPr>
        <w:pStyle w:val="Normal"/>
        <w:spacing w:before="0" w:after="0"/>
        <w:ind w:left="0" w:hanging="0"/>
        <w:rPr>
          <w:i w:val="false"/>
          <w:i w:val="false"/>
          <w:iCs w:val="false"/>
        </w:rPr>
      </w:pPr>
      <w:r>
        <w:rPr>
          <w:i w:val="false"/>
          <w:iCs w:val="false"/>
        </w:rPr>
        <w:t xml:space="preserve">Another interpretation is that they are talking about actual consumptive use. The Upper Basin doesn’t use its full entitlement and the Lower Basin is currently not using III(b) so this less nuts but also not what was intended but go to </w:t>
      </w:r>
      <w:r>
        <w:rPr>
          <w:b/>
          <w:bCs/>
          <w:i w:val="false"/>
          <w:iCs w:val="false"/>
        </w:rPr>
        <w:t>Scenario 2</w:t>
      </w:r>
      <w:r>
        <w:rPr>
          <w:i w:val="false"/>
          <w:iCs w:val="false"/>
        </w:rPr>
        <w:t>:</w:t>
      </w:r>
    </w:p>
    <w:p>
      <w:pPr>
        <w:pStyle w:val="Normal"/>
        <w:spacing w:before="0" w:after="0"/>
        <w:ind w:left="0" w:hanging="0"/>
        <w:rPr>
          <w:i w:val="false"/>
          <w:i w:val="false"/>
          <w:iCs w:val="false"/>
        </w:rPr>
      </w:pPr>
      <w:r>
        <w:rPr>
          <w:i w:val="false"/>
          <w:iCs w:val="false"/>
        </w:rPr>
      </w:r>
    </w:p>
    <w:p>
      <w:pPr>
        <w:pStyle w:val="Normal"/>
        <w:spacing w:before="0" w:after="0"/>
        <w:ind w:left="720" w:hanging="0"/>
        <w:rPr>
          <w:i w:val="false"/>
          <w:i w:val="false"/>
          <w:iCs w:val="false"/>
        </w:rPr>
      </w:pPr>
      <w:r>
        <w:rPr>
          <w:i w:val="false"/>
          <w:iCs w:val="false"/>
        </w:rPr>
        <w:t>12 MAF = 7.5 Lower Basin(A) + 4.5 Upper Basin(A)</w:t>
      </w:r>
    </w:p>
    <w:p>
      <w:pPr>
        <w:pStyle w:val="Normal"/>
        <w:spacing w:before="0" w:after="0"/>
        <w:ind w:left="720" w:hanging="0"/>
        <w:rPr>
          <w:i w:val="false"/>
          <w:i w:val="false"/>
          <w:iCs w:val="false"/>
        </w:rPr>
      </w:pPr>
      <w:r>
        <w:rPr>
          <w:i w:val="false"/>
          <w:iCs w:val="false"/>
        </w:rPr>
      </w:r>
    </w:p>
    <w:p>
      <w:pPr>
        <w:pStyle w:val="Normal"/>
        <w:spacing w:before="0" w:after="0"/>
        <w:ind w:left="0" w:hanging="0"/>
        <w:rPr>
          <w:i w:val="false"/>
          <w:i w:val="false"/>
          <w:iCs w:val="false"/>
        </w:rPr>
      </w:pPr>
      <w:r>
        <w:rPr>
          <w:i w:val="false"/>
          <w:iCs w:val="false"/>
        </w:rPr>
        <w:t>Another interpretation is that if the Lower Basin is overusing its entitlement due to the structural deficit then there must be a surplus. See S</w:t>
      </w:r>
      <w:r>
        <w:rPr>
          <w:b/>
          <w:bCs/>
          <w:i w:val="false"/>
          <w:iCs w:val="false"/>
        </w:rPr>
        <w:t>cenario 3</w:t>
      </w:r>
      <w:r>
        <w:rPr>
          <w:i w:val="false"/>
          <w:iCs w:val="false"/>
        </w:rPr>
        <w:t>.</w:t>
      </w:r>
    </w:p>
    <w:p>
      <w:pPr>
        <w:pStyle w:val="Normal"/>
        <w:spacing w:before="0" w:after="0"/>
        <w:ind w:left="0" w:hanging="0"/>
        <w:rPr>
          <w:i w:val="false"/>
          <w:i w:val="false"/>
          <w:iCs w:val="false"/>
        </w:rPr>
      </w:pPr>
      <w:r>
        <w:rPr>
          <w:i w:val="false"/>
          <w:iCs w:val="false"/>
        </w:rPr>
      </w:r>
    </w:p>
    <w:p>
      <w:pPr>
        <w:pStyle w:val="Normal"/>
        <w:spacing w:before="0" w:after="0"/>
        <w:rPr/>
      </w:pPr>
      <w:r>
        <w:rPr>
          <w:b w:val="false"/>
          <w:bCs w:val="false"/>
        </w:rPr>
        <w:t>If we are in deficit then:</w:t>
      </w:r>
    </w:p>
    <w:p>
      <w:pPr>
        <w:pStyle w:val="Normal"/>
        <w:spacing w:before="0" w:after="0"/>
        <w:ind w:left="720" w:hanging="0"/>
        <w:rPr>
          <w:i/>
          <w:i/>
          <w:iCs/>
        </w:rPr>
      </w:pPr>
      <w:r>
        <w:rPr>
          <w:b/>
          <w:bCs/>
          <w:i/>
          <w:iCs/>
        </w:rPr>
        <w:t>the burden of such deficiency shall be equally borne by the Upper Basin and the Lower Basin</w:t>
      </w:r>
    </w:p>
    <w:p>
      <w:pPr>
        <w:pStyle w:val="Normal"/>
        <w:spacing w:before="0" w:after="0"/>
        <w:ind w:hanging="0"/>
        <w:rPr>
          <w:b w:val="false"/>
          <w:b w:val="false"/>
          <w:bCs w:val="false"/>
          <w:i/>
          <w:i/>
          <w:iCs/>
        </w:rPr>
      </w:pPr>
      <w:r>
        <w:rPr>
          <w:b w:val="false"/>
          <w:bCs w:val="false"/>
          <w:i/>
          <w:iCs/>
        </w:rPr>
        <w:t>and:</w:t>
      </w:r>
    </w:p>
    <w:p>
      <w:pPr>
        <w:pStyle w:val="Normal"/>
        <w:spacing w:before="0" w:after="0"/>
        <w:ind w:left="720" w:hanging="0"/>
        <w:rPr>
          <w:b w:val="false"/>
          <w:b w:val="false"/>
          <w:bCs w:val="false"/>
          <w:i/>
          <w:i/>
          <w:iCs/>
        </w:rPr>
      </w:pPr>
      <w:r>
        <w:rPr>
          <w:b/>
          <w:bCs/>
          <w:i/>
          <w:iCs/>
        </w:rPr>
        <w:t>the Upper Division shall deliver at Lee Ferry water to supply one-half of the deficiency so recognized in addition to that provided in paragraph (d)</w:t>
      </w:r>
      <w:r>
        <w:rPr>
          <w:b w:val="false"/>
          <w:bCs w:val="false"/>
          <w:i/>
          <w:iCs/>
        </w:rPr>
        <w:t>.</w:t>
      </w:r>
    </w:p>
    <w:p>
      <w:pPr>
        <w:pStyle w:val="Normal"/>
        <w:spacing w:before="0" w:after="0"/>
        <w:rPr>
          <w:i w:val="false"/>
          <w:i w:val="false"/>
          <w:iCs w:val="false"/>
        </w:rPr>
      </w:pPr>
      <w:r>
        <w:rPr>
          <w:i w:val="false"/>
          <w:iCs w:val="false"/>
        </w:rPr>
      </w:r>
    </w:p>
    <w:p>
      <w:pPr>
        <w:pStyle w:val="Normal"/>
        <w:spacing w:before="0" w:after="0"/>
        <w:rPr>
          <w:i w:val="false"/>
          <w:i w:val="false"/>
          <w:iCs w:val="false"/>
        </w:rPr>
      </w:pPr>
      <w:r>
        <w:rPr>
          <w:i w:val="false"/>
          <w:iCs w:val="false"/>
        </w:rPr>
        <w:t>This is the basis for the 8.25 compact call, often called the first tripwire/.</w:t>
      </w:r>
    </w:p>
    <w:p>
      <w:pPr>
        <w:pStyle w:val="Normal"/>
        <w:spacing w:before="0" w:after="0"/>
        <w:rPr>
          <w:i w:val="false"/>
          <w:i w:val="false"/>
          <w:iCs w:val="false"/>
        </w:rPr>
      </w:pPr>
      <w:r>
        <w:rPr>
          <w:i w:val="false"/>
          <w:iCs w:val="false"/>
        </w:rPr>
      </w:r>
    </w:p>
    <w:p>
      <w:pPr>
        <w:pStyle w:val="Normal"/>
        <w:spacing w:before="0" w:after="0"/>
        <w:rPr>
          <w:i w:val="false"/>
          <w:i w:val="false"/>
          <w:iCs w:val="false"/>
        </w:rPr>
      </w:pPr>
      <w:r>
        <w:rPr>
          <w:i w:val="false"/>
          <w:iCs w:val="false"/>
        </w:rPr>
        <w:t>Its key that this does not say the Upper Basin must deliver one-half of the deficiency each year,  if there is a big equalization or balancing release from Lake Powell then can that water in Lake Mead be used to cover multiple years of the Upper Basin III(c) obligation?</w:t>
      </w:r>
    </w:p>
    <w:p>
      <w:pPr>
        <w:pStyle w:val="Normal"/>
        <w:spacing w:before="0" w:after="0"/>
        <w:rPr>
          <w:i w:val="false"/>
          <w:i w:val="false"/>
          <w:iCs w:val="false"/>
        </w:rPr>
      </w:pPr>
      <w:r>
        <w:rPr>
          <w:i w:val="false"/>
          <w:iCs w:val="false"/>
        </w:rPr>
      </w:r>
    </w:p>
    <w:p>
      <w:pPr>
        <w:pStyle w:val="Heading3"/>
        <w:rPr>
          <w:i w:val="false"/>
          <w:i w:val="false"/>
          <w:iCs w:val="false"/>
        </w:rPr>
      </w:pPr>
      <w:bookmarkStart w:id="7" w:name="__RefHeading___Toc1372_3032948006"/>
      <w:bookmarkEnd w:id="7"/>
      <w:r>
        <w:rPr/>
        <w:t>NEW</w:t>
      </w:r>
    </w:p>
    <w:p>
      <w:pPr>
        <w:pStyle w:val="Normal"/>
        <w:spacing w:before="0" w:after="0"/>
        <w:rPr>
          <w:i w:val="false"/>
          <w:i w:val="false"/>
          <w:iCs w:val="false"/>
        </w:rPr>
      </w:pPr>
      <w:r>
        <w:rPr>
          <w:i w:val="false"/>
          <w:iCs w:val="false"/>
        </w:rPr>
        <w:t>Thanks to @R_EricKuhn I think I finally understand the cryptic III(c) deficiency rule. I think it has to be this to make sense:</w:t>
        <w:br/>
        <w:br/>
        <w:t>Mexico = Natural Flow at Border - (UB CU + LB CU)</w:t>
        <w:br/>
        <w:br/>
        <w:t>If Mexico &gt;= 1.5 MAF there is no deficiency or 8.25 mandate </w:t>
        <w:br/>
        <w:br/>
        <w:t>The hard 16 MAF rule in Guenther-Schiffer and AZ litigation threats really makes no sense, in particular it has to be consumptive use(CU) not the III(a) and III(b) entitlements. One UB defense relates to this. </w:t>
        <w:br/>
        <w:br/>
        <w:t>Two problems:</w:t>
        <w:br/>
        <w:t>- Natural Flow and CU are slow and hard to calculate though it’s better with OpenET, there will be a year lag in determining deficiency </w:t>
        <w:br/>
        <w:t>- Two reservoirs in the middle really complicates it</w:t>
      </w:r>
    </w:p>
    <w:p>
      <w:pPr>
        <w:pStyle w:val="Heading3"/>
        <w:rPr/>
      </w:pPr>
      <w:bookmarkStart w:id="8" w:name="__RefHeading___Toc765_3032948006"/>
      <w:bookmarkEnd w:id="8"/>
      <w:r>
        <w:rPr/>
        <w:t>Status Quo</w:t>
      </w:r>
    </w:p>
    <w:p>
      <w:pPr>
        <w:pStyle w:val="Normal"/>
        <w:spacing w:before="0" w:after="0"/>
        <w:rPr/>
      </w:pPr>
      <w:r>
        <w:rPr/>
        <w:t>Arizona documented their position, the basis for litigation threats in 2007 in this paper and kind of what we got in the 2007 guidelines so its the status quo:</w:t>
      </w:r>
    </w:p>
    <w:p>
      <w:pPr>
        <w:pStyle w:val="Normal"/>
        <w:spacing w:before="0" w:after="0"/>
        <w:rPr/>
      </w:pPr>
      <w:r>
        <w:rPr/>
      </w:r>
    </w:p>
    <w:p>
      <w:pPr>
        <w:pStyle w:val="Normal"/>
        <w:spacing w:before="0" w:after="0"/>
        <w:ind w:left="720" w:hanging="0"/>
        <w:rPr/>
      </w:pPr>
      <w:hyperlink r:id="rId8">
        <w:r>
          <w:rPr>
            <w:rStyle w:val="InternetLink"/>
          </w:rPr>
          <w:t>From a Colorado River Compact Challenge to the Next Era of Cooperation Among Seven Basin States</w:t>
        </w:r>
      </w:hyperlink>
    </w:p>
    <w:p>
      <w:pPr>
        <w:pStyle w:val="Normal"/>
        <w:spacing w:before="0" w:after="0"/>
        <w:ind w:left="720" w:hanging="0"/>
        <w:rPr/>
      </w:pPr>
      <w:r>
        <w:rPr/>
        <w:t xml:space="preserve">49 Ariz. L. Rev. 217 (2007) </w:t>
      </w:r>
    </w:p>
    <w:p>
      <w:pPr>
        <w:pStyle w:val="Normal"/>
        <w:spacing w:before="0" w:after="0"/>
        <w:ind w:left="720" w:hanging="0"/>
        <w:rPr/>
      </w:pPr>
      <w:r>
        <w:rPr>
          <w:b w:val="false"/>
          <w:bCs w:val="false"/>
        </w:rPr>
        <w:t xml:space="preserve">W. Patrick Schiffer, Herbert R. Guenther &amp; Thomas G. Carr </w:t>
      </w:r>
    </w:p>
    <w:p>
      <w:pPr>
        <w:pStyle w:val="Normal"/>
        <w:spacing w:before="0" w:after="0"/>
        <w:ind w:left="720" w:hanging="0"/>
        <w:rPr>
          <w:b w:val="false"/>
          <w:b w:val="false"/>
          <w:bCs w:val="false"/>
        </w:rPr>
      </w:pPr>
      <w:r>
        <w:rPr>
          <w:b w:val="false"/>
          <w:bCs w:val="false"/>
        </w:rPr>
      </w:r>
    </w:p>
    <w:p>
      <w:pPr>
        <w:pStyle w:val="Normal"/>
        <w:spacing w:before="0" w:after="0"/>
        <w:ind w:left="0" w:hanging="0"/>
        <w:rPr/>
      </w:pPr>
      <w:r>
        <w:rPr>
          <w:b w:val="false"/>
          <w:bCs w:val="false"/>
        </w:rPr>
        <w:t>The Schiffer and Guenther paper (co-authored with Carr) argues that Article III(c) of the Colorado River Compact defines "surplus" as annual system-wide supply exceeding the 16 MAF aggregate apportionments in Articles III(a) and (b) (7.5 MAF each to Upper and Lower Basins). Any surplus over 16 MAF must first satisfy the 1.5 MAF Mexican Treaty obligation; if supply is deficient, the Upper and Lower Basins share the burden equally, with the Upper Basin delivering its half (0.75 MAF) at Lee Ferry plus evaporative/transit losses (totaling ~0.9 MAF Upper share). The authors reject the Upper Division States' view that Lower Basin usage exceeding 8.5 MAF constitutes "surplus" to be applied solely by the Lower Basin to Mexico, insisting instead on system-wide assessment to protect Arizona from undue shortages.</w:t>
        <w:br/>
        <w:br/>
        <w:t>On releases, the paper critiques the 8.23 MAF minimum objective release from Lake Powell as inadequate, excluding full losses and risking Lake Mead depletion that fails to meet ~9 MAF mainstream Lower Division needs (Lower apportionment plus Mexico). It proposes ~8.38 MAF in deficiency years (0.9 MAF Mexican share + 7.48 MAF Article III(d)) and up to 9.28 MAF in surplus years, prioritizing the Upper's Mexican share first under the Basin Project Act and LROC. An interim solution suggests variable 7-9 MAF releases to equalize reservoirs and avert crises, bridging toward long-term augmentation.</w:t>
      </w:r>
    </w:p>
    <w:p>
      <w:pPr>
        <w:pStyle w:val="Heading3"/>
        <w:rPr/>
      </w:pPr>
      <w:bookmarkStart w:id="9" w:name="__RefHeading___Toc767_3032948006"/>
      <w:bookmarkEnd w:id="9"/>
      <w:r>
        <w:rPr/>
        <w:t>Scenario 1 – All Deficit, All the Time</w:t>
      </w:r>
    </w:p>
    <w:p>
      <w:pPr>
        <w:pStyle w:val="Normal"/>
        <w:spacing w:before="0" w:after="0"/>
        <w:rPr>
          <w:b w:val="false"/>
          <w:b w:val="false"/>
          <w:bCs w:val="false"/>
        </w:rPr>
      </w:pPr>
      <w:r>
        <w:rPr>
          <w:b w:val="false"/>
          <w:bCs w:val="false"/>
        </w:rPr>
      </w:r>
    </w:p>
    <w:p>
      <w:pPr>
        <w:pStyle w:val="Normal"/>
        <w:spacing w:before="0" w:after="0"/>
        <w:ind w:hanging="0"/>
        <w:rPr/>
      </w:pPr>
      <w:r>
        <w:rPr>
          <w:b/>
          <w:bCs/>
        </w:rPr>
        <w:t>If the river is in a deficit the key question is where does the Lower Basin’s half of the obligation come from when:</w:t>
      </w:r>
    </w:p>
    <w:p>
      <w:pPr>
        <w:pStyle w:val="Normal"/>
        <w:spacing w:before="0" w:after="0"/>
        <w:rPr>
          <w:b/>
          <w:b/>
          <w:bCs/>
        </w:rPr>
      </w:pPr>
      <w:r>
        <w:rPr>
          <w:b/>
          <w:bCs/>
        </w:rPr>
      </w:r>
    </w:p>
    <w:p>
      <w:pPr>
        <w:pStyle w:val="Normal"/>
        <w:numPr>
          <w:ilvl w:val="0"/>
          <w:numId w:val="10"/>
        </w:numPr>
        <w:spacing w:before="0" w:after="0"/>
        <w:rPr>
          <w:b w:val="false"/>
          <w:b w:val="false"/>
          <w:bCs w:val="false"/>
        </w:rPr>
      </w:pPr>
      <w:r>
        <w:rPr>
          <w:b w:val="false"/>
          <w:bCs w:val="false"/>
        </w:rPr>
        <w:t>highly variable Grand Canyon tributaries which offsets Lake Mead evaporation</w:t>
      </w:r>
    </w:p>
    <w:p>
      <w:pPr>
        <w:pStyle w:val="Normal"/>
        <w:numPr>
          <w:ilvl w:val="0"/>
          <w:numId w:val="10"/>
        </w:numPr>
        <w:spacing w:before="0" w:after="0"/>
        <w:rPr>
          <w:b w:val="false"/>
          <w:b w:val="false"/>
          <w:bCs w:val="false"/>
        </w:rPr>
      </w:pPr>
      <w:r>
        <w:rPr>
          <w:b w:val="false"/>
          <w:bCs w:val="false"/>
        </w:rPr>
        <w:t>stored water in Lake Mead that came from unused III(d), equalization or balancing</w:t>
      </w:r>
    </w:p>
    <w:p>
      <w:pPr>
        <w:pStyle w:val="Normal"/>
        <w:numPr>
          <w:ilvl w:val="0"/>
          <w:numId w:val="10"/>
        </w:numPr>
        <w:spacing w:before="0" w:after="0"/>
        <w:rPr>
          <w:b w:val="false"/>
          <w:b w:val="false"/>
          <w:bCs w:val="false"/>
        </w:rPr>
      </w:pPr>
      <w:r>
        <w:rPr>
          <w:b w:val="false"/>
          <w:bCs w:val="false"/>
        </w:rPr>
        <w:t>conserved water from the Lower Basin’s 7.5 MAF entitlement(aka shortages)</w:t>
      </w:r>
    </w:p>
    <w:p>
      <w:pPr>
        <w:pStyle w:val="TextBody"/>
        <w:numPr>
          <w:ilvl w:val="0"/>
          <w:numId w:val="10"/>
        </w:numPr>
        <w:spacing w:before="0" w:after="0"/>
        <w:rPr/>
      </w:pPr>
      <w:r>
        <w:rPr>
          <w:b w:val="false"/>
          <w:bCs w:val="false"/>
        </w:rPr>
        <w:t>Wellton-Mohawk toxic return flows which would have to be taken from Ciénega de Santa Clara and be desalinated.  Audubon and Mexico would oppose this</w:t>
      </w:r>
    </w:p>
    <w:p>
      <w:pPr>
        <w:pStyle w:val="Heading3"/>
        <w:rPr/>
      </w:pPr>
      <w:bookmarkStart w:id="10" w:name="__RefHeading___Toc769_3032948006"/>
      <w:bookmarkEnd w:id="10"/>
      <w:r>
        <w:rPr/>
        <w:t>Scenario 2 – Beneficial Consumptive Use Based</w:t>
      </w:r>
    </w:p>
    <w:p>
      <w:pPr>
        <w:pStyle w:val="Normal"/>
        <w:spacing w:before="0" w:after="0"/>
        <w:rPr/>
      </w:pPr>
      <w:r>
        <w:rPr/>
        <w:br/>
        <w:t xml:space="preserve">Core Upper Basin Argument: </w:t>
      </w:r>
      <w:r>
        <w:rPr>
          <w:b/>
          <w:bCs/>
        </w:rPr>
        <w:t>The Compact Apportions Beneficial Consumptive Use, Not Raw Flow — So “Surplus” Is Defined Relative to Actual Apportioned Uses, Not a Hypothetical 16 MAF System Supply Number</w:t>
      </w:r>
    </w:p>
    <w:p>
      <w:pPr>
        <w:pStyle w:val="Normal"/>
        <w:spacing w:before="0" w:after="0"/>
        <w:rPr/>
      </w:pPr>
      <w:r>
        <w:rPr/>
      </w:r>
    </w:p>
    <w:p>
      <w:pPr>
        <w:pStyle w:val="Normal"/>
        <w:numPr>
          <w:ilvl w:val="0"/>
          <w:numId w:val="3"/>
        </w:numPr>
        <w:spacing w:before="0" w:after="0"/>
        <w:rPr/>
      </w:pPr>
      <w:r>
        <w:rPr/>
        <w:t>The Compact is about beneficial consumptive use, not total virgin flow or system supply Article III(a)–(b) apportion “beneficial consumptive use” (the key phrase repeated throughout the Compact). Article III(c) expressly ties the surplus calculation to “the aggregate of the quantities specified in paragraphs (a) and (b)” — i.e., the apportioned beneficial consumptive uses (Upper 7.5 + Lower 8.5 = 16 MAF). If the Lower Basin is already consuming &gt;8.5 MAF (mainstem + tributaries + evaporation/ losses charged to it), then any water it is using beyond its apportionment is, by definition, surplus that Article III(c) says must first go to Mexico. There is no “deficiency” until the Lower Basin has reduced its use to its apportioned 8.5 MAF. → This directly refutes the paper’s claim that Lower Basin use is “irrelevant.” The Compact itself makes actual use relevant.</w:t>
      </w:r>
    </w:p>
    <w:p>
      <w:pPr>
        <w:pStyle w:val="Normal"/>
        <w:numPr>
          <w:ilvl w:val="0"/>
          <w:numId w:val="3"/>
        </w:numPr>
        <w:spacing w:before="0" w:after="0"/>
        <w:rPr/>
      </w:pPr>
      <w:r>
        <w:rPr/>
        <w:t xml:space="preserve"> </w:t>
      </w:r>
      <w:r>
        <w:rPr/>
        <w:t>Lower Basin has been using 10–11+ MAF for decades (including tributaries) In the years the paper was written (and still today), Lower Basin consumptive use (Arizona, California, Nevada mainstem + Gila, Virgin, etc. tributaries + reservoir evaporation charged to Lower) routinely exceeds 10 MAF. That excess (≥1.5 MAF) is precisely the “surplus” III(c) requires to be applied to Mexico first. No deficiency exists; Upper Basin has no III(c) obligation beyond the III(d) non-depletion floor. The paper’s insistence on a pure “system supply &gt;16 MAF” test would mean the Lower Basin can overuse its apportionment indefinitely while still forcing the Upper Basin to deliver extra water for Mexico — an outcome the Compact negotiators never intended and that would violate the equitable division premise.</w:t>
      </w:r>
    </w:p>
    <w:p>
      <w:pPr>
        <w:pStyle w:val="Normal"/>
        <w:numPr>
          <w:ilvl w:val="0"/>
          <w:numId w:val="3"/>
        </w:numPr>
        <w:spacing w:before="0" w:after="0"/>
        <w:rPr/>
      </w:pPr>
      <w:r>
        <w:rPr/>
        <w:t>The extra 1 MAF in III(b) was always understood as coming from surplus Article III(b) gives the Lower Basin the right to increase its use by 1 MAF “in addition to” the base apportionment. Negotiators (and later Upper Basin witnesses in 1948 Upper Compact hearings and 1960s CAP debates) treated that extra 1 MAF as the Lower Basin’s share of expected long-term surplus. If the Lower Basin is already taking that (and more), it cannot simultaneously claim there is no surplus for Mexico.</w:t>
      </w:r>
    </w:p>
    <w:p>
      <w:pPr>
        <w:pStyle w:val="Normal"/>
        <w:numPr>
          <w:ilvl w:val="0"/>
          <w:numId w:val="3"/>
        </w:numPr>
        <w:spacing w:before="0" w:after="0"/>
        <w:rPr/>
      </w:pPr>
      <w:r>
        <w:rPr/>
        <w:t>Tributaries and losses reinforce the point Lower Basin tributaries (especially the Gila) are part of the “Colorado River System” (Art. II(a)) and count toward Lower Basin use for purposes of determining surplus/deficiency. Upper Basin deliveries at Lee Ferry do not have to compensate for Lower Basin channel losses/evaporation — those are borne by the Lower Basin from its own apportionment (the Lee Ferry delivery point was chosen for exactly this reason).</w:t>
      </w:r>
    </w:p>
    <w:p>
      <w:pPr>
        <w:pStyle w:val="Normal"/>
        <w:numPr>
          <w:ilvl w:val="0"/>
          <w:numId w:val="3"/>
        </w:numPr>
        <w:spacing w:before="0" w:after="0"/>
        <w:rPr/>
      </w:pPr>
      <w:r>
        <w:rPr/>
        <w:t>Historical practice and the 8.23 MAF minimum objective release Since the 1970s, Reclamation has operated Glen Canyon Dam to a minimum objective release of ~8.23 MAF (≈7.5 III(d) + a small buffer, but not the full 0.75–0.9 MAF III(c) share the paper demands). Upper Basin states have never accepted the Lower Basin’s 8.25 MAF (or higher) figure as legally required under III(c), and they have never been forced to litigate it because their position has effectively prevailed in operations. The paper’s interpretation would retroactively declare decades of operations illegal.</w:t>
      </w:r>
    </w:p>
    <w:p>
      <w:pPr>
        <w:pStyle w:val="Normal"/>
        <w:spacing w:before="0" w:after="0"/>
        <w:rPr/>
      </w:pPr>
      <w:r>
        <w:rPr/>
        <w:br/>
        <w:t>In short, the Upper Basin’s best refutation is that the Schiffer-Guenther paper reads Article III(c) in isolation and ignores the Compact’s overarching framework of beneficial consumptive use apportionments. Once you measure “surplus” against actual basin uses (as the Compact requires), the Lower Basin’s longstanding overuse of its own apportionment supplies all the “surplus” needed for Mexico. There is no deficiency, and the Upper Basin has no additional delivery obligation under III(c).</w:t>
      </w:r>
    </w:p>
    <w:p>
      <w:pPr>
        <w:pStyle w:val="Normal"/>
        <w:spacing w:before="0" w:after="0"/>
        <w:rPr/>
      </w:pPr>
      <w:r>
        <w:rPr/>
        <w:br/>
        <w:t>This is why the issue has never been conclusively litigated — both sides have strong textual and historical arguments, but the Upper Basin view protects its ability to develop while holding the Lower Basin accountable for its own overuse. The 2007 Interim Guidelines and subsequent agreements deliberately punted the legal question in favor of operational compromise, but the underlying interpretive disagreement remains exactly as it was in 2004–2007.</w:t>
      </w:r>
    </w:p>
    <w:p>
      <w:pPr>
        <w:pStyle w:val="Heading3"/>
        <w:rPr/>
      </w:pPr>
      <w:bookmarkStart w:id="11" w:name="__RefHeading___Toc771_3032948006"/>
      <w:bookmarkEnd w:id="11"/>
      <w:r>
        <w:rPr/>
        <w:t>Scenario 3 – Supply Based</w:t>
      </w:r>
    </w:p>
    <w:p>
      <w:pPr>
        <w:pStyle w:val="Normal"/>
        <w:spacing w:before="0" w:after="0"/>
        <w:rPr/>
      </w:pPr>
      <w:r>
        <w:rPr/>
        <w:t xml:space="preserve">Core Upper Basin Argument: </w:t>
      </w:r>
      <w:r>
        <w:rPr>
          <w:b/>
          <w:bCs/>
        </w:rPr>
        <w:t>The “surplus” water to satisfy Mexico’s allocation under Article III(c) of the 1922 Colorado River Compact does not have to come through Lee’s Ferry each and every year. It can (and in practice does) draw from stored surplus in Lake Mead, including water delivered in big-release years like the 2011 equalization. So as long as there is extra water in Mead for III(c) does that mean there is no deficiency. If so 8.25 isn’t the basis for a call?</w:t>
      </w:r>
    </w:p>
    <w:p>
      <w:pPr>
        <w:pStyle w:val="Normal"/>
        <w:spacing w:before="0" w:after="0"/>
        <w:rPr/>
      </w:pPr>
      <w:r>
        <w:rPr/>
      </w:r>
    </w:p>
    <w:p>
      <w:pPr>
        <w:pStyle w:val="Normal"/>
        <w:numPr>
          <w:ilvl w:val="0"/>
          <w:numId w:val="10"/>
        </w:numPr>
        <w:spacing w:before="0" w:after="0"/>
        <w:rPr/>
      </w:pPr>
      <w:r>
        <w:rPr/>
        <w:t>The classic compact equation is paragraphs (a) + (b) = 16 MAF of apportioned consumptive use (7.5 MAF Upper + 7.5 MAF Lower + 1 MAF extra to Lower). It makes no sense today, Neither Upper basin use or entitlement are 7.5 MAF, III(b) water does not exist.</w:t>
      </w:r>
    </w:p>
    <w:p>
      <w:pPr>
        <w:pStyle w:val="Normal"/>
        <w:numPr>
          <w:ilvl w:val="0"/>
          <w:numId w:val="10"/>
        </w:numPr>
        <w:spacing w:before="0" w:after="0"/>
        <w:rPr/>
      </w:pPr>
      <w:r>
        <w:rPr/>
        <w:t>Today’s apportioned consumptive use  equation is either this:</w:t>
      </w:r>
    </w:p>
    <w:p>
      <w:pPr>
        <w:pStyle w:val="Normal"/>
        <w:numPr>
          <w:ilvl w:val="0"/>
          <w:numId w:val="0"/>
        </w:numPr>
        <w:spacing w:before="0" w:after="0"/>
        <w:ind w:left="227" w:hanging="0"/>
        <w:rPr/>
      </w:pPr>
      <w:r>
        <w:rPr/>
      </w:r>
    </w:p>
    <w:p>
      <w:pPr>
        <w:pStyle w:val="Normal"/>
        <w:numPr>
          <w:ilvl w:val="0"/>
          <w:numId w:val="0"/>
        </w:numPr>
        <w:spacing w:before="0" w:after="0"/>
        <w:ind w:left="454" w:hanging="0"/>
        <w:rPr/>
      </w:pPr>
      <w:r>
        <w:rPr/>
        <w:t>7.5 MAF Lower + 1 MAF extra to Lower = 8.5 MAF</w:t>
      </w:r>
    </w:p>
    <w:p>
      <w:pPr>
        <w:pStyle w:val="Normal"/>
        <w:spacing w:before="0" w:after="0"/>
        <w:ind w:left="720" w:hanging="0"/>
        <w:rPr/>
      </w:pPr>
      <w:r>
        <w:rPr/>
        <w:t>or</w:t>
      </w:r>
    </w:p>
    <w:p>
      <w:pPr>
        <w:pStyle w:val="Normal"/>
        <w:numPr>
          <w:ilvl w:val="0"/>
          <w:numId w:val="0"/>
        </w:numPr>
        <w:spacing w:before="0" w:after="0"/>
        <w:ind w:left="454" w:hanging="0"/>
        <w:rPr/>
      </w:pPr>
      <w:r>
        <w:rPr/>
        <w:t>7.5 MAF Lower</w:t>
      </w:r>
    </w:p>
    <w:p>
      <w:pPr>
        <w:pStyle w:val="Normal"/>
        <w:numPr>
          <w:ilvl w:val="0"/>
          <w:numId w:val="0"/>
        </w:numPr>
        <w:spacing w:before="0" w:after="0"/>
        <w:ind w:left="454" w:hanging="0"/>
        <w:rPr/>
      </w:pPr>
      <w:r>
        <w:rPr/>
      </w:r>
    </w:p>
    <w:p>
      <w:pPr>
        <w:pStyle w:val="Normal"/>
        <w:numPr>
          <w:ilvl w:val="0"/>
          <w:numId w:val="10"/>
        </w:numPr>
        <w:spacing w:before="0" w:after="0"/>
        <w:rPr/>
      </w:pPr>
      <w:r>
        <w:rPr/>
        <w:t>Mexico’s 1.5 MAF (per the 1944 Treaty) comes first from any system-wide surplus above that 7.5 MAF or 8.5 MAF.</w:t>
      </w:r>
    </w:p>
    <w:p>
      <w:pPr>
        <w:pStyle w:val="Normal"/>
        <w:numPr>
          <w:ilvl w:val="0"/>
          <w:numId w:val="10"/>
        </w:numPr>
        <w:spacing w:before="0" w:after="0"/>
        <w:rPr/>
      </w:pPr>
      <w:r>
        <w:rPr/>
        <w:t>Only if that surplus is insufficient does a “deficiency” arise — and only then does the Compact explicitly require the Upper Division to deliver extra water at Lee’s Ferry (half the shortfall, on top of the 75 MAF/10-year minimum in III(d)).</w:t>
      </w:r>
    </w:p>
    <w:p>
      <w:pPr>
        <w:pStyle w:val="Normal"/>
        <w:numPr>
          <w:ilvl w:val="0"/>
          <w:numId w:val="10"/>
        </w:numPr>
        <w:spacing w:before="0" w:after="0"/>
        <w:rPr/>
      </w:pPr>
      <w:r>
        <w:rPr/>
        <w:t>1.5 MAF is the default Mexico obligation. It is currently a little lower thanks to shortages Mexico is taking to help the system</w:t>
      </w:r>
    </w:p>
    <w:p>
      <w:pPr>
        <w:pStyle w:val="Normal"/>
        <w:spacing w:before="0" w:after="0"/>
        <w:rPr/>
      </w:pPr>
      <w:r>
        <w:rPr/>
        <w:br/>
        <w:t>The Compact never says the surplus portion itself must pass Lee’s Ferry in the same year it is used for Mexico. Surplus is a system-wide concept — water in the Colorado River System not consumed by the apportioned uses in the two basins. Once water reaches the Lower Basin (whether via Lee’s Ferry that year, Lower Basin tributaries, or releases from storage), it can be part of the “surplus” pool.</w:t>
      </w:r>
    </w:p>
    <w:p>
      <w:pPr>
        <w:pStyle w:val="Normal"/>
        <w:spacing w:before="0" w:after="0"/>
        <w:rPr/>
      </w:pPr>
      <w:r>
        <w:rPr/>
        <w:br/>
        <w:t>In wet years or equalization operations (like 2011 when the two reservoirs were deliberately rebalanced), extra water is released from Powell → through Lee’s Ferry → into Lake Mead. That water becomes stored surplus in Mead.</w:t>
      </w:r>
    </w:p>
    <w:p>
      <w:pPr>
        <w:pStyle w:val="Normal"/>
        <w:spacing w:before="0" w:after="0"/>
        <w:rPr/>
      </w:pPr>
      <w:r>
        <w:rPr/>
        <w:br/>
        <w:t>In a later year, when natural inflows are lower and Lee’s Ferry releases are at or near the minimum objective (currently ~8.23 MAF/year under the Long-Range Operating Criteria, which already bakes in 0.75 MAF as the Upper Basin’s presumed share of Mexico), operators can still release water from Mead’s storage to meet Mexico’s full 1.5 MAF (and Lower Basin demands) without triggering a Compact “deficiency.” That stored water originated as surplus and was carried forward.</w:t>
      </w:r>
    </w:p>
    <w:p>
      <w:pPr>
        <w:pStyle w:val="Normal"/>
        <w:spacing w:before="0" w:after="0"/>
        <w:rPr/>
      </w:pPr>
      <w:r>
        <w:rPr/>
        <w:br/>
        <w:t>This is exactly how the system has functioned for decades: reservoirs (Powell + Mead) act as a multi-year buffer. The Compact’s surplus/deficiency test is not a strict annual accounting that ignores storage; it’s a broader recognition that the river is regulated by large reservoirs. If the basins could only use “this year’s” surplus through Lee’s Ferry, the entire storage-and-carryover regime that has kept Mexico whole since 1944 would be illegal — which it obviously isn’t.</w:t>
      </w:r>
    </w:p>
    <w:p>
      <w:pPr>
        <w:pStyle w:val="Normal"/>
        <w:spacing w:before="0" w:after="0"/>
        <w:rPr/>
      </w:pPr>
      <w:r>
        <w:rPr/>
        <w:br/>
      </w:r>
      <w:r>
        <w:rPr>
          <w:b/>
          <w:bCs/>
        </w:rPr>
        <w:t>Bottom line</w:t>
      </w:r>
    </w:p>
    <w:p>
      <w:pPr>
        <w:pStyle w:val="Normal"/>
        <w:numPr>
          <w:ilvl w:val="0"/>
          <w:numId w:val="10"/>
        </w:numPr>
        <w:spacing w:before="0" w:after="0"/>
        <w:rPr/>
      </w:pPr>
      <w:r>
        <w:rPr/>
        <w:t>Surplus water for Mexico → can be (and is) supplied from Lake Mead storage that accumulated in big years.</w:t>
      </w:r>
    </w:p>
    <w:p>
      <w:pPr>
        <w:pStyle w:val="Normal"/>
        <w:numPr>
          <w:ilvl w:val="0"/>
          <w:numId w:val="10"/>
        </w:numPr>
        <w:spacing w:before="0" w:after="0"/>
        <w:rPr/>
      </w:pPr>
      <w:r>
        <w:rPr/>
        <w:t>Deficiency share → triggers Lee’s Ferry delivery obligation from the Upper Basin.</w:t>
      </w:r>
    </w:p>
    <w:p>
      <w:pPr>
        <w:pStyle w:val="Normal"/>
        <w:numPr>
          <w:ilvl w:val="0"/>
          <w:numId w:val="10"/>
        </w:numPr>
        <w:spacing w:before="0" w:after="0"/>
        <w:rPr/>
      </w:pPr>
      <w:r>
        <w:rPr/>
        <w:t>The Compact draws a clear distinction between the two. The surplus clause does not contain a Lee’s Ferry requirement; only the deficiency clause does.</w:t>
      </w:r>
    </w:p>
    <w:p>
      <w:pPr>
        <w:pStyle w:val="Normal"/>
        <w:spacing w:before="0" w:after="0"/>
        <w:rPr/>
      </w:pPr>
      <w:r>
        <w:rPr/>
        <w:br/>
        <w:t>So yes — surplus stored in Mead from years like 2011 can satisfy Mexico without creating a deficiency that forces extra Upper Basin deliveries at Lee’s Ferry in a subsequent dry year. That’s how the “Law of the River” has always worked in practice.</w:t>
      </w:r>
      <w:r>
        <w:br w:type="page"/>
      </w:r>
    </w:p>
    <w:p>
      <w:pPr>
        <w:pStyle w:val="Heading2"/>
        <w:rPr/>
      </w:pPr>
      <w:bookmarkStart w:id="12" w:name="__RefHeading___Toc773_3032948006"/>
      <w:bookmarkEnd w:id="12"/>
      <w:r>
        <w:rPr/>
        <w:t>Article III(e) Interpretation</w:t>
      </w:r>
    </w:p>
    <w:p>
      <w:pPr>
        <w:pStyle w:val="Normal"/>
        <w:spacing w:before="0" w:after="0"/>
        <w:rPr/>
      </w:pPr>
      <w:r>
        <w:rPr>
          <w:b/>
          <w:bCs/>
        </w:rPr>
        <w:t>Objective</w:t>
      </w:r>
      <w:r>
        <w:rPr/>
        <w:t>: Counter Arizona's expansive interpretation of Article III(e) to restore balance</w:t>
      </w:r>
    </w:p>
    <w:p>
      <w:pPr>
        <w:pStyle w:val="Normal"/>
        <w:spacing w:before="0" w:after="0"/>
        <w:ind w:left="720" w:hanging="0"/>
        <w:rPr/>
      </w:pPr>
      <w:r>
        <w:rPr/>
        <w:br/>
        <w:t>“</w:t>
      </w:r>
      <w:r>
        <w:rPr>
          <w:i/>
          <w:iCs/>
        </w:rPr>
        <w:t>The States of the Upper Division shall not withhold water, and the States of the Lower Division shall not require the delivery of water, which cannot reasonably be applied to domestic and agricultural uses</w:t>
      </w:r>
      <w:r>
        <w:rPr/>
        <w:t>.”</w:t>
      </w:r>
    </w:p>
    <w:p>
      <w:pPr>
        <w:pStyle w:val="Normal"/>
        <w:spacing w:before="0" w:after="0"/>
        <w:rPr/>
      </w:pPr>
      <w:r>
        <w:rPr/>
        <w:br/>
        <w:t>This provision is deliberately symmetrical and conditional. The qualifying clause—“which cannot reasonably be applied to domestic and agricultural uses”—applies equally to both prohibitions. It does not create an unqualified duty for the Upper Basin to release water on demand, nor does it grant the Lower Basin an unrestricted right to call for deliveries. Instead, it imposes reciprocal restraints to prevent waste or unreasonable interference during the basins’ respective development phases.</w:t>
      </w:r>
    </w:p>
    <w:p>
      <w:pPr>
        <w:pStyle w:val="Normal"/>
        <w:spacing w:before="0" w:after="0"/>
        <w:rPr/>
      </w:pPr>
      <w:r>
        <w:rPr/>
        <w:br/>
        <w:t>During the 1922 negotiations (led by Herbert Hoover as federal representative), Upper Basin delegates (from Colorado, New Mexico, Utah, and Wyoming) expressed significant concern that Lower Basin states—particularly California, with its rapid development and access to storage at Hoover Dam (authorized later)—might use prior appropriation principles or storage infrastructure to make premature “calls” on water before Upper Basin states could fully develop their apportioned uses. The Upper Basin, where most runoff originates but infrastructure lagged, feared that such calls would impair their future consumptive uses.</w:t>
      </w:r>
    </w:p>
    <w:p>
      <w:pPr>
        <w:pStyle w:val="Normal"/>
        <w:spacing w:before="0" w:after="0"/>
        <w:rPr/>
      </w:pPr>
      <w:r>
        <w:rPr/>
        <w:br/>
        <w:t xml:space="preserve">Article III(e) emerged as a compromise to address this asymmetry: </w:t>
      </w:r>
    </w:p>
    <w:p>
      <w:pPr>
        <w:pStyle w:val="Normal"/>
        <w:numPr>
          <w:ilvl w:val="0"/>
          <w:numId w:val="10"/>
        </w:numPr>
        <w:spacing w:before="0" w:after="0"/>
        <w:rPr/>
      </w:pPr>
      <w:r>
        <w:rPr/>
        <w:t xml:space="preserve">It protected the Upper Basin by prohibiting Lower Basin demands for water that the Upper Basin could reasonably apply to its own domestic and agricultural needs (e.g., storing water in future reservoirs like Powell for later use). </w:t>
      </w:r>
    </w:p>
    <w:p>
      <w:pPr>
        <w:pStyle w:val="Normal"/>
        <w:numPr>
          <w:ilvl w:val="0"/>
          <w:numId w:val="10"/>
        </w:numPr>
        <w:spacing w:before="0" w:after="0"/>
        <w:rPr/>
      </w:pPr>
      <w:r>
        <w:rPr/>
        <w:t xml:space="preserve">Simultaneously, it restrained the Upper Basin from indefinitely hoarding water that served no beneficial purpose and could be used downstream. </w:t>
      </w:r>
    </w:p>
    <w:p>
      <w:pPr>
        <w:pStyle w:val="Normal"/>
        <w:numPr>
          <w:ilvl w:val="0"/>
          <w:numId w:val="10"/>
        </w:numPr>
        <w:spacing w:before="0" w:after="0"/>
        <w:rPr/>
      </w:pPr>
      <w:r>
        <w:rPr/>
        <w:t>The clause was not intended as a broad delivery obligation or equity-forcing mechanism but as a pragmatic “safety valve” to promote interstate comity, avoid waste, and facilitate development without one basin unduly hindering the other.</w:t>
      </w:r>
    </w:p>
    <w:p>
      <w:pPr>
        <w:pStyle w:val="Normal"/>
        <w:spacing w:before="0" w:after="0"/>
        <w:rPr/>
      </w:pPr>
      <w:r>
        <w:rPr/>
        <w:br/>
        <w:t>This intent is reflected in the Compact’s preamble, which emphasizes equitable division, protection from floods, and expeditious agricultural/industrial development. The provision’s narrow focus—limited to “domestic and agricultural uses” (excluding power generation or other purposes)—further underscores its restraint-oriented design rather than an expansive release requirement.</w:t>
      </w:r>
    </w:p>
    <w:p>
      <w:pPr>
        <w:pStyle w:val="Normal"/>
        <w:spacing w:before="0" w:after="0"/>
        <w:rPr/>
      </w:pPr>
      <w:r>
        <w:rPr/>
        <w:br/>
        <w:t xml:space="preserve">Subsequent legislation and operations reinforce this interpretation: </w:t>
      </w:r>
    </w:p>
    <w:p>
      <w:pPr>
        <w:pStyle w:val="Normal"/>
        <w:numPr>
          <w:ilvl w:val="0"/>
          <w:numId w:val="10"/>
        </w:numPr>
        <w:spacing w:before="0" w:after="0"/>
        <w:rPr/>
      </w:pPr>
      <w:r>
        <w:rPr/>
        <w:t xml:space="preserve">The Colorado River Basin Project Act of 1968 (Section 602(a)) explicitly conditions releases from Lake Powell for Lower Basin beneficial use under III(e) on specific criteria, such as Powell storage exceeding Mead storage and no impairment of Upper Basin consumptive uses. This subordinates III(e) to the Compact’s core apportionments (III(a), (b), (d)) and protects Upper Basin development. </w:t>
      </w:r>
    </w:p>
    <w:p>
      <w:pPr>
        <w:pStyle w:val="Normal"/>
        <w:numPr>
          <w:ilvl w:val="0"/>
          <w:numId w:val="10"/>
        </w:numPr>
        <w:spacing w:before="0" w:after="0"/>
        <w:rPr/>
      </w:pPr>
      <w:r>
        <w:rPr/>
        <w:t xml:space="preserve">Long-Range Operating Criteria and post-2007 guidelines incorporate III(e) in a limited, conditional manner, consistent with its reciprocal nature. </w:t>
      </w:r>
    </w:p>
    <w:p>
      <w:pPr>
        <w:pStyle w:val="Normal"/>
        <w:numPr>
          <w:ilvl w:val="0"/>
          <w:numId w:val="10"/>
        </w:numPr>
        <w:spacing w:before="0" w:after="0"/>
        <w:rPr/>
      </w:pPr>
      <w:r>
        <w:rPr/>
        <w:t>Upper Basin analyses (e.g., from the Upper Colorado River Commission, experts like Eric Kuhn, and historical reviews) consistently frame III(e) as a safeguard for Upper Basin growth, not a tool to compel releases that could shift disproportionate burdens (e.g, for the Mexican Treaty under III(c)).</w:t>
      </w:r>
    </w:p>
    <w:p>
      <w:pPr>
        <w:pStyle w:val="Normal"/>
        <w:spacing w:before="0" w:after="0"/>
        <w:rPr/>
      </w:pPr>
      <w:r>
        <w:rPr/>
        <w:br/>
        <w:t>In Upper Basin rebuttals, attempts to expand III(e) beyond this narrow, mutual framework—such as using it to mandate releases for Mexican Treaty deficiencies or to prioritize Lower Basin access to stored water—are viewed as contrary to the negotiated balance. The provision was crafted to preserve each basin’s exclusive beneficial consumptive use (per III(a)) while preventing abuse, not to override volumetric obligations or create new priorities.</w:t>
      </w:r>
    </w:p>
    <w:p>
      <w:pPr>
        <w:pStyle w:val="Normal"/>
        <w:spacing w:before="0" w:after="0"/>
        <w:rPr/>
      </w:pPr>
      <w:r>
        <w:rPr/>
        <w:br/>
        <w:t>The Guenther Schiffer paper’s emphasis on Upper Basin non-withholding as a broad duty to release usable water is seen as reading the clause one-sidedly, ignoring its symmetry and the Compact’s overall grant of “exclusive beneficial consumptive use” to each basin under Article III(a).</w:t>
      </w:r>
    </w:p>
    <w:p>
      <w:pPr>
        <w:pStyle w:val="Normal"/>
        <w:spacing w:before="0" w:after="0"/>
        <w:rPr/>
      </w:pPr>
      <w:r>
        <w:rPr/>
        <w:br/>
        <w:t xml:space="preserve">The Schiffer paper links III(e) to mandatory Upper Basin releases to meet half the Mexican obligation in deficiency years, arguing that withholding would cause unjustified Lower Basin shortages. Upper Basin rebuttal: </w:t>
      </w:r>
    </w:p>
    <w:p>
      <w:pPr>
        <w:pStyle w:val="Normal"/>
        <w:numPr>
          <w:ilvl w:val="0"/>
          <w:numId w:val="10"/>
        </w:numPr>
        <w:spacing w:before="0" w:after="0"/>
        <w:rPr/>
      </w:pPr>
      <w:r>
        <w:rPr/>
        <w:t xml:space="preserve">Article III(c) already contains the precise sharing rule (first from surplus; then equal burden; Upper delivers half-deficiency at Lee Ferry “whenever necessary” in addition to III(d)). III(e) adds no extra obligation. </w:t>
      </w:r>
    </w:p>
    <w:p>
      <w:pPr>
        <w:pStyle w:val="Normal"/>
        <w:numPr>
          <w:ilvl w:val="0"/>
          <w:numId w:val="10"/>
        </w:numPr>
        <w:spacing w:before="0" w:after="0"/>
        <w:rPr/>
      </w:pPr>
      <w:r>
        <w:rPr/>
        <w:t xml:space="preserve">Upper Basin’s preferred reading of “surplus” in III(c) is basin-specific: if the Lower Basin is already using &gt;8.5 maf (its III(a)+(b) apportionment, including tributaries per Upper Basic view), that excess is the surplus first applied to Mexico, relieving Upper Basin of deficiency sharing. </w:t>
      </w:r>
    </w:p>
    <w:p>
      <w:pPr>
        <w:pStyle w:val="Normal"/>
        <w:numPr>
          <w:ilvl w:val="0"/>
          <w:numId w:val="10"/>
        </w:numPr>
        <w:spacing w:before="0" w:after="0"/>
        <w:rPr/>
      </w:pPr>
      <w:r>
        <w:rPr/>
        <w:t xml:space="preserve">Forcing additional releases under III(e) to cover Mexico would impair Upper Basin’s own future uses, violating the “without impairment of annual consumptive uses in the upper basin” language in CRBPA §602(a)(3). </w:t>
      </w:r>
    </w:p>
    <w:p>
      <w:pPr>
        <w:pStyle w:val="Normal"/>
        <w:spacing w:before="0" w:after="0"/>
        <w:rPr/>
      </w:pPr>
      <w:r>
        <w:rPr/>
      </w:r>
    </w:p>
    <w:p>
      <w:pPr>
        <w:pStyle w:val="Normal"/>
        <w:spacing w:before="0" w:after="0"/>
        <w:rPr/>
      </w:pPr>
      <w:r>
        <w:rPr/>
        <w:t xml:space="preserve">This is the exact position the Upper Division Governors’ Representatives took in their </w:t>
      </w:r>
      <w:hyperlink r:id="rId9">
        <w:r>
          <w:rPr>
            <w:rStyle w:val="InternetLink"/>
          </w:rPr>
          <w:t>2004 letter</w:t>
        </w:r>
      </w:hyperlink>
      <w:r>
        <w:rPr/>
        <w:t xml:space="preserve"> (the trigger for the Schiffer paper) and that Upper Basin entities have reiterated in post-2007 Guidelines, Drought Contingency Plan, and post-2026 negotiations.</w:t>
      </w:r>
    </w:p>
    <w:p>
      <w:pPr>
        <w:pStyle w:val="Normal"/>
        <w:rPr/>
      </w:pPr>
      <w:r>
        <w:rPr/>
      </w:r>
    </w:p>
    <w:p>
      <w:pPr>
        <w:pStyle w:val="Normal"/>
        <w:rPr>
          <w:b/>
          <w:b/>
          <w:bCs/>
        </w:rPr>
      </w:pPr>
      <w:r>
        <w:rPr>
          <w:b/>
          <w:bCs/>
        </w:rPr>
        <w:t>It is a near certainty that Lower Basin, especially Arizona’s, taking delivery of water from reservoirs in the 90’s, and probably continuing today, for long term storage in its aquifers and contributing to the current crisis in Lake Powell is a direct and unambiguous violation of Article III(e).</w:t>
      </w:r>
      <w:r>
        <w:br w:type="page"/>
      </w:r>
    </w:p>
    <w:p>
      <w:pPr>
        <w:pStyle w:val="Heading2"/>
        <w:rPr/>
      </w:pPr>
      <w:bookmarkStart w:id="13" w:name="__RefHeading___Toc775_3032948006"/>
      <w:bookmarkEnd w:id="13"/>
      <w:r>
        <w:rPr/>
        <w:br/>
        <w:t>Section 603</w:t>
      </w:r>
    </w:p>
    <w:p>
      <w:pPr>
        <w:pStyle w:val="Normal"/>
        <w:spacing w:before="0" w:after="0"/>
        <w:rPr/>
      </w:pPr>
      <w:r>
        <w:rPr>
          <w:b/>
          <w:bCs/>
        </w:rPr>
        <w:t>Objective</w:t>
      </w:r>
      <w:r>
        <w:rPr/>
        <w:t>: Based on Arizona’s misinterpretation of Article III(c) and the Eric Kuhn et al “Tripwire” paper there is a plausible case for Colorado to invoke Section 603, Federal law in the 1968 CRBPA that authorized CAP</w:t>
      </w:r>
    </w:p>
    <w:p>
      <w:pPr>
        <w:pStyle w:val="Normal"/>
        <w:spacing w:before="0" w:after="0"/>
        <w:rPr/>
      </w:pPr>
      <w:r>
        <w:rPr/>
      </w:r>
    </w:p>
    <w:p>
      <w:pPr>
        <w:pStyle w:val="Normal"/>
        <w:spacing w:before="0" w:after="0"/>
        <w:rPr/>
      </w:pPr>
      <w:r>
        <w:rPr/>
        <w:t>A credible legal argument can be made that this sequence:</w:t>
      </w:r>
    </w:p>
    <w:p>
      <w:pPr>
        <w:pStyle w:val="Normal"/>
        <w:spacing w:before="0" w:after="0"/>
        <w:rPr/>
      </w:pPr>
      <w:r>
        <w:rPr/>
      </w:r>
    </w:p>
    <w:p>
      <w:pPr>
        <w:pStyle w:val="Normal"/>
        <w:numPr>
          <w:ilvl w:val="0"/>
          <w:numId w:val="10"/>
        </w:numPr>
        <w:spacing w:before="0" w:after="0"/>
        <w:rPr/>
      </w:pPr>
      <w:r>
        <w:rPr/>
        <w:t>the 2007 Interim Guidelines’ treatment of Compact Article III(c)</w:t>
      </w:r>
    </w:p>
    <w:p>
      <w:pPr>
        <w:pStyle w:val="Normal"/>
        <w:numPr>
          <w:ilvl w:val="0"/>
          <w:numId w:val="10"/>
        </w:numPr>
        <w:spacing w:before="0" w:after="0"/>
        <w:rPr/>
      </w:pPr>
      <w:r>
        <w:rPr/>
        <w:t xml:space="preserve">CAP’s exploitation of the operational “sweet spot,” </w:t>
      </w:r>
    </w:p>
    <w:p>
      <w:pPr>
        <w:pStyle w:val="Normal"/>
        <w:numPr>
          <w:ilvl w:val="0"/>
          <w:numId w:val="10"/>
        </w:numPr>
        <w:spacing w:before="0" w:after="0"/>
        <w:rPr/>
      </w:pPr>
      <w:r>
        <w:rPr/>
        <w:t>the resulting 9 MAF Powell releases in 2015–2019</w:t>
      </w:r>
    </w:p>
    <w:p>
      <w:pPr>
        <w:pStyle w:val="Normal"/>
        <w:numPr>
          <w:ilvl w:val="0"/>
          <w:numId w:val="10"/>
        </w:numPr>
        <w:spacing w:before="0" w:after="0"/>
        <w:rPr/>
      </w:pPr>
      <w:r>
        <w:rPr/>
        <w:t>the subsequent drop to ~7.5–8.23 MAF releases today</w:t>
      </w:r>
    </w:p>
    <w:p>
      <w:pPr>
        <w:pStyle w:val="Normal"/>
        <w:spacing w:before="0" w:after="0"/>
        <w:rPr/>
      </w:pPr>
      <w:r>
        <w:rPr/>
        <w:br/>
        <w:t>has prejudiced Upper Basin rights in violation of Section 603(a) of the 1968 Colorado River Basin Project Act (CRBPA), especially if it forces Upper Basin curtailment.</w:t>
      </w:r>
    </w:p>
    <w:p>
      <w:pPr>
        <w:pStyle w:val="Normal"/>
        <w:spacing w:before="0" w:after="0"/>
        <w:ind w:left="720" w:hanging="0"/>
        <w:rPr/>
      </w:pPr>
      <w:r>
        <w:rPr/>
        <w:br/>
      </w:r>
      <w:hyperlink r:id="rId10">
        <w:r>
          <w:rPr>
            <w:rStyle w:val="InternetLink"/>
          </w:rPr>
          <w:t>Section 603(a), CRBPA (Pub. L. 90-537, 82 Stat. 885, 901):</w:t>
        </w:r>
      </w:hyperlink>
    </w:p>
    <w:p>
      <w:pPr>
        <w:pStyle w:val="Normal"/>
        <w:spacing w:before="0" w:after="0"/>
        <w:rPr/>
      </w:pPr>
      <w:r>
        <w:rPr/>
      </w:r>
    </w:p>
    <w:p>
      <w:pPr>
        <w:pStyle w:val="Normal"/>
        <w:spacing w:before="0" w:after="0"/>
        <w:ind w:left="720" w:hanging="0"/>
        <w:rPr/>
      </w:pPr>
      <w:r>
        <w:rPr/>
        <w:t xml:space="preserve"> “</w:t>
      </w:r>
      <w:r>
        <w:rPr>
          <w:i/>
          <w:iCs/>
        </w:rPr>
        <w:t>Rights of the upper basin to the consumptive use of water available to that basin from the Colorado River system under the Colorado River Compact shall not be reduced or prejudiced by any use of such water in the lower basin</w:t>
      </w:r>
      <w:r>
        <w:rPr/>
        <w:t>.”</w:t>
      </w:r>
    </w:p>
    <w:p>
      <w:pPr>
        <w:pStyle w:val="Normal"/>
        <w:spacing w:before="0" w:after="0"/>
        <w:rPr/>
      </w:pPr>
      <w:r>
        <w:rPr/>
        <w:br/>
        <w:t>This provision was a key Upper Basin protection inserted in 1968 to safeguard against Lower Basin development (especially the then-new CAP) impairing Upper Basin Compact rights.</w:t>
      </w:r>
    </w:p>
    <w:p>
      <w:pPr>
        <w:pStyle w:val="Normal"/>
        <w:spacing w:before="0" w:after="0"/>
        <w:rPr/>
      </w:pPr>
      <w:r>
        <w:rPr/>
        <w:br/>
        <w:t xml:space="preserve">On the last page of the Tripwire Paper (Eric Kuhn &amp; John Fleck, 2025-ish draft): </w:t>
      </w:r>
    </w:p>
    <w:p>
      <w:pPr>
        <w:pStyle w:val="Normal"/>
        <w:spacing w:before="0" w:after="0"/>
        <w:rPr/>
      </w:pPr>
      <w:r>
        <w:rPr/>
      </w:r>
    </w:p>
    <w:p>
      <w:pPr>
        <w:pStyle w:val="Normal"/>
        <w:spacing w:before="0" w:after="0"/>
        <w:ind w:left="720" w:hanging="0"/>
        <w:rPr/>
      </w:pPr>
      <w:hyperlink r:id="rId11">
        <w:r>
          <w:rPr>
            <w:rStyle w:val="InternetLink"/>
          </w:rPr>
          <w:t>The 1922 Compact is Now the Obvious Elephant in the Negotiating Room</w:t>
        </w:r>
      </w:hyperlink>
    </w:p>
    <w:p>
      <w:pPr>
        <w:pStyle w:val="Normal"/>
        <w:spacing w:before="0" w:after="0"/>
        <w:rPr/>
      </w:pPr>
      <w:r>
        <w:rPr/>
      </w:r>
    </w:p>
    <w:p>
      <w:pPr>
        <w:pStyle w:val="Normal"/>
        <w:spacing w:before="0" w:after="0"/>
        <w:rPr/>
      </w:pPr>
      <w:r>
        <w:rPr/>
        <w:t>It concludes that the system is on track to breach the “tripwire” (10-year Lee Ferry flow &lt; 82.5 MAF) soon unless unusually wet years occur. High releases (9 MAF 2015–2019) created a temporary bubble in the moving average, but as those years roll off and are replaced by lower releases (e.g., 8.23 MAF or the current ~7.48 MAF under most-probable scenarios), the 10-year total drops below 82.5 MAF. The paper argues there is “no painless strategy” that protects both Powell (&gt;3,500 ft) and the tripwire; the only real solution is a basin-wide enforceable agreement with Compact claim waivers.</w:t>
      </w:r>
    </w:p>
    <w:p>
      <w:pPr>
        <w:pStyle w:val="Normal"/>
        <w:spacing w:before="0" w:after="0"/>
        <w:rPr/>
      </w:pPr>
      <w:r>
        <w:rPr/>
        <w:br/>
      </w:r>
      <w:r>
        <w:rPr>
          <w:b/>
          <w:bCs/>
        </w:rPr>
        <w:t>The “Tripwire” and Article III(c) Connection</w:t>
      </w:r>
      <w:r>
        <w:rPr/>
        <w:t xml:space="preserve"> </w:t>
      </w:r>
    </w:p>
    <w:p>
      <w:pPr>
        <w:pStyle w:val="Normal"/>
        <w:spacing w:before="0" w:after="0"/>
        <w:rPr/>
      </w:pPr>
      <w:r>
        <w:rPr/>
        <w:t>The 82.5 MAF figure is not just Article III(d)’s 75 MAF/10-year non-depletion obligation. It incorporates an interpretation of Article III(c) of the 1922 Compact: if there is no surplus above the 16 MAF apportioned to both basins (7.5 each), the Upper Basin must deliver its half-share of Mexico’s 1.5 MAF treaty obligation (0.75 MAF/year = 7.5 MAF/10 years) at Lee Ferry, for a total delivery obligation of 82.5 MAF. • Upper Basin view: III(c) creates an additional delivery requirement once “surplus” is exhausted. • Lower Basin view (historically): Surplus (including Lower Basin overuse above 8.5 MAF) covers Mexico first; Upper’s extra obligation is minimal or conditional.</w:t>
      </w:r>
    </w:p>
    <w:p>
      <w:pPr>
        <w:pStyle w:val="Normal"/>
        <w:spacing w:before="0" w:after="0"/>
        <w:rPr/>
      </w:pPr>
      <w:r>
        <w:rPr/>
        <w:br/>
        <w:t>The 2007 Interim Guidelines (Record of Decision) embedded operational assumptions that leaned toward the Lower Basin interpretation by coordinating Powell releases to protect Mead elevations. This produced the 9 MAF releases when Mead was in the ~1,075–1,100 ft range (the “sweet spot” that avoided Lower Basin shortages while triggering higher Powell releases under equalization/balancing rules):</w:t>
      </w:r>
    </w:p>
    <w:p>
      <w:pPr>
        <w:pStyle w:val="Normal"/>
        <w:spacing w:before="0" w:after="0"/>
        <w:rPr/>
      </w:pPr>
      <w:r>
        <w:rPr/>
      </w:r>
    </w:p>
    <w:p>
      <w:pPr>
        <w:pStyle w:val="Normal"/>
        <w:spacing w:before="0" w:after="0"/>
        <w:ind w:left="720" w:hanging="0"/>
        <w:rPr/>
      </w:pPr>
      <w:hyperlink r:id="rId12">
        <w:r>
          <w:rPr>
            <w:rStyle w:val="InternetLink"/>
          </w:rPr>
          <w:t>The Lower Basin Drought Contingency Plan: Development and Delays</w:t>
        </w:r>
      </w:hyperlink>
    </w:p>
    <w:p>
      <w:pPr>
        <w:pStyle w:val="Normal"/>
        <w:spacing w:before="0" w:after="0"/>
        <w:ind w:left="720" w:hanging="0"/>
        <w:rPr/>
      </w:pPr>
      <w:r>
        <w:rPr/>
        <w:t>William Tintor</w:t>
      </w:r>
    </w:p>
    <w:p>
      <w:pPr>
        <w:pStyle w:val="Normal"/>
        <w:spacing w:before="0" w:after="0"/>
        <w:ind w:left="720" w:hanging="0"/>
        <w:rPr/>
      </w:pPr>
      <w:r>
        <w:rPr/>
        <w:t>Water Policy in Arizona and the Semi-arid West – Research Paper</w:t>
      </w:r>
    </w:p>
    <w:p>
      <w:pPr>
        <w:pStyle w:val="Normal"/>
        <w:spacing w:before="0" w:after="0"/>
        <w:rPr/>
      </w:pPr>
      <w:r>
        <w:rPr/>
        <w:br/>
        <w:t xml:space="preserve">CAP’s “Sweet Spot” Strategy In 2017–2018, CAP (and Arizona) openly discussed managing demands to keep Mead in the elevation band that triggered higher Powell releases (~9 MAF) while avoiding formal shortage declarations. </w:t>
      </w:r>
    </w:p>
    <w:p>
      <w:pPr>
        <w:pStyle w:val="Normal"/>
        <w:spacing w:before="0" w:after="0"/>
        <w:rPr/>
      </w:pPr>
      <w:r>
        <w:rPr/>
      </w:r>
    </w:p>
    <w:p>
      <w:pPr>
        <w:pStyle w:val="Normal"/>
        <w:spacing w:before="0" w:after="0"/>
        <w:rPr/>
      </w:pPr>
      <w:r>
        <w:rPr/>
        <w:t>Upper Basin states (via UCRC) accused Arizona/CAP of “gaming” or “manipulating” the guidelines to extract extra water from Powell storage at Upper Basin expense. This was widely reported as a flash point (e.g., Upper Basin representatives called it undermining the purpose of coordinated operations). These high releases temporarily kept the 10-year Lee Ferry average high but depleted Powell storage and inflated the moving average. As those 9 MAF years fall out (starting ~2025–2027) and are replaced by lower releases, the average is projected to cross below 82.5 MAF.</w:t>
      </w:r>
    </w:p>
    <w:p>
      <w:pPr>
        <w:pStyle w:val="Normal"/>
        <w:spacing w:before="0" w:after="0"/>
        <w:rPr/>
      </w:pPr>
      <w:r>
        <w:rPr/>
        <w:br/>
        <w:t xml:space="preserve">How This Ties to a Section 603 Breach Argument If the 10-year flow drops below 82.5 MAF: </w:t>
      </w:r>
    </w:p>
    <w:p>
      <w:pPr>
        <w:pStyle w:val="Normal"/>
        <w:numPr>
          <w:ilvl w:val="0"/>
          <w:numId w:val="10"/>
        </w:numPr>
        <w:spacing w:before="0" w:after="0"/>
        <w:rPr/>
      </w:pPr>
      <w:r>
        <w:rPr/>
        <w:t xml:space="preserve">Lower Basin states could argue a Compact violation (“Compact call”). </w:t>
      </w:r>
    </w:p>
    <w:p>
      <w:pPr>
        <w:pStyle w:val="Normal"/>
        <w:numPr>
          <w:ilvl w:val="0"/>
          <w:numId w:val="10"/>
        </w:numPr>
        <w:spacing w:before="0" w:after="0"/>
        <w:rPr/>
      </w:pPr>
      <w:r>
        <w:rPr/>
        <w:t xml:space="preserve">• </w:t>
      </w:r>
      <w:r>
        <w:rPr/>
        <w:t xml:space="preserve">This would pressure Upper Basin states to curtail uses (post-Compact rights first) to restore deliveries. </w:t>
      </w:r>
    </w:p>
    <w:p>
      <w:pPr>
        <w:pStyle w:val="Normal"/>
        <w:numPr>
          <w:ilvl w:val="0"/>
          <w:numId w:val="10"/>
        </w:numPr>
        <w:spacing w:before="0" w:after="0"/>
        <w:rPr/>
      </w:pPr>
      <w:r>
        <w:rPr/>
        <w:t>That curtailment would be a direct reduction/prejudice to Upper Basin consumptive uses—precisely what Section 603(a) forbids if caused by Lower Basin uses/operations.</w:t>
      </w:r>
    </w:p>
    <w:p>
      <w:pPr>
        <w:pStyle w:val="Normal"/>
        <w:spacing w:before="0" w:after="0"/>
        <w:rPr/>
      </w:pPr>
      <w:r>
        <w:rPr/>
        <w:br/>
        <w:t>The chain of causation runs through:</w:t>
        <w:br/>
        <w:t>1. The 2007 Guidelines’ interpretation/operation of III(c) and coordinated releases.</w:t>
        <w:br/>
        <w:t>2. CAP’s demand management to stay in the high-release “sweet spot.”</w:t>
        <w:br/>
        <w:t>3. The resulting excessive Powell drawdown.</w:t>
        <w:br/>
        <w:t>4. The current low-release regime that exposes the tripwire risk.</w:t>
        <w:br/>
        <w:t>Upper Basin interests could argue this was foreseeable, that the guidelines were administered in a way that favored Lower Basin deliveries over Upper Basin storage protection, and that Section 603 (a federal statute) overrides or constrains such prejudice.</w:t>
      </w:r>
    </w:p>
    <w:p>
      <w:pPr>
        <w:pStyle w:val="Normal"/>
        <w:spacing w:before="0" w:after="0"/>
        <w:rPr/>
      </w:pPr>
      <w:r>
        <w:rPr/>
        <w:br/>
      </w:r>
      <w:r>
        <w:rPr>
          <w:b/>
          <w:bCs/>
        </w:rPr>
        <w:t xml:space="preserve">Counterpoints and Realities </w:t>
      </w:r>
    </w:p>
    <w:p>
      <w:pPr>
        <w:pStyle w:val="Normal"/>
        <w:numPr>
          <w:ilvl w:val="0"/>
          <w:numId w:val="10"/>
        </w:numPr>
        <w:spacing w:before="0" w:after="0"/>
        <w:rPr/>
      </w:pPr>
      <w:r>
        <w:rPr/>
        <w:t>The guidelines were negotiated with Upper Basin participation (though many Upper Basin voices later felt the “sweet spot” dynamics were not fully anticipated). However Upper Basin negotiators were under duress from litigation threats.</w:t>
      </w:r>
    </w:p>
    <w:p>
      <w:pPr>
        <w:pStyle w:val="Normal"/>
        <w:numPr>
          <w:ilvl w:val="0"/>
          <w:numId w:val="10"/>
        </w:numPr>
        <w:spacing w:before="0" w:after="0"/>
        <w:rPr/>
      </w:pPr>
      <w:r>
        <w:rPr/>
        <w:t xml:space="preserve">Reclamation administers the dams under the CRBPA and prior acts; courts give deference to federal operational discretion. </w:t>
      </w:r>
    </w:p>
    <w:p>
      <w:pPr>
        <w:pStyle w:val="Normal"/>
        <w:numPr>
          <w:ilvl w:val="0"/>
          <w:numId w:val="10"/>
        </w:numPr>
        <w:spacing w:before="0" w:after="0"/>
        <w:rPr/>
      </w:pPr>
      <w:r>
        <w:rPr/>
        <w:t>No court has ever ruled on the exact III(c) delivery obligation or enforced the 82.5 MAF tripwire.</w:t>
      </w:r>
    </w:p>
    <w:p>
      <w:pPr>
        <w:pStyle w:val="Normal"/>
        <w:numPr>
          <w:ilvl w:val="0"/>
          <w:numId w:val="10"/>
        </w:numPr>
        <w:spacing w:before="0" w:after="0"/>
        <w:rPr/>
      </w:pPr>
      <w:r>
        <w:rPr/>
        <w:t>The Tripwire paper itself essentially concedes that litigation is a dead end (“will not create an additional drop of water”) and that the only viable path is negotiation + waiver of Compact claims.</w:t>
      </w:r>
    </w:p>
    <w:p>
      <w:pPr>
        <w:pStyle w:val="Normal"/>
        <w:spacing w:before="0" w:after="0"/>
        <w:rPr/>
      </w:pPr>
      <w:r>
        <w:rPr/>
        <w:br/>
        <w:t>In short: Yes, a strong policy/legal case exists that the described actions have prejudiced Upper Basin rights in violation of Section 603(a)’s plain language, especially if curtailment results. Whether a court would agree is another matter—the politics and federal authority make litigation risky for everyone. The paper’s conclusion is probably right: the only realistic escape is a comprehensive, enforceable basin-wide deal.</w:t>
      </w:r>
    </w:p>
    <w:p>
      <w:pPr>
        <w:pStyle w:val="Normal"/>
        <w:spacing w:before="0" w:after="0"/>
        <w:rPr/>
      </w:pPr>
      <w:r>
        <w:rPr/>
      </w:r>
    </w:p>
    <w:p>
      <w:pPr>
        <w:pStyle w:val="Heading2"/>
        <w:rPr/>
      </w:pPr>
      <w:r>
        <w:rPr/>
        <w:t>III(b)</w:t>
      </w:r>
    </w:p>
    <w:p>
      <w:pPr>
        <w:pStyle w:val="Normal"/>
        <w:rPr/>
      </w:pPr>
      <w:r>
        <w:rPr>
          <w:rFonts w:ascii="Liberation Sans" w:hAnsi="Liberation Sans"/>
        </w:rPr>
        <w:t>In 1922</w:t>
      </w:r>
      <w:r>
        <w:rPr>
          <w:rFonts w:ascii="Liberation Sans" w:hAnsi="Liberation Sans"/>
        </w:rPr>
        <w:t>,</w:t>
      </w:r>
      <w:r>
        <w:rPr>
          <w:rFonts w:ascii="Liberation Sans" w:hAnsi="Liberation Sans"/>
        </w:rPr>
        <w:t xml:space="preserve"> Arizona’s compact commissioner </w:t>
      </w:r>
      <w:r>
        <w:rPr>
          <w:rFonts w:ascii="Liberation Sans" w:hAnsi="Liberation Sans"/>
        </w:rPr>
        <w:t xml:space="preserve">W.S. Norviel </w:t>
      </w:r>
      <w:r>
        <w:rPr>
          <w:rFonts w:ascii="Liberation Sans" w:hAnsi="Liberation Sans"/>
        </w:rPr>
        <w:t xml:space="preserve">asked that 1 MAF </w:t>
      </w:r>
      <w:r>
        <w:rPr>
          <w:rFonts w:ascii="Liberation Sans" w:hAnsi="Liberation Sans"/>
        </w:rPr>
        <w:t>be set aside</w:t>
      </w:r>
      <w:r>
        <w:rPr>
          <w:rFonts w:ascii="Liberation Sans" w:hAnsi="Liberation Sans"/>
        </w:rPr>
        <w:t xml:space="preserve"> in Article III(b) to cover the natural flow of the Gila River at the confluence with the Colorado. The Gila is a wasting river so that is inherently much less than their </w:t>
      </w:r>
      <w:r>
        <w:rPr>
          <w:rFonts w:ascii="Liberation Sans" w:hAnsi="Liberation Sans"/>
        </w:rPr>
        <w:t xml:space="preserve">actual </w:t>
      </w:r>
      <w:r>
        <w:rPr>
          <w:rFonts w:ascii="Liberation Sans" w:hAnsi="Liberation Sans"/>
        </w:rPr>
        <w:t>C</w:t>
      </w:r>
      <w:r>
        <w:rPr>
          <w:rFonts w:ascii="Liberation Sans" w:hAnsi="Liberation Sans"/>
        </w:rPr>
        <w:t>onsumptive Use, they’ve used it to extinction since the 1870’s</w:t>
      </w:r>
      <w:r>
        <w:rPr>
          <w:rFonts w:ascii="Liberation Sans" w:hAnsi="Liberation Sans"/>
        </w:rPr>
        <w:t xml:space="preserve">.  His rationale was even if Arizona wasn’t use the Gila’s water only 1 MAF would reach the confluence. </w:t>
      </w:r>
      <w:r>
        <w:rPr>
          <w:rFonts w:ascii="Liberation Sans" w:hAnsi="Liberation Sans"/>
        </w:rPr>
        <w:t>The rest would disappear into aquifers and evaporation.</w:t>
      </w:r>
    </w:p>
    <w:p>
      <w:pPr>
        <w:pStyle w:val="Normal"/>
        <w:rPr/>
      </w:pPr>
      <w:r>
        <w:rPr>
          <w:rFonts w:ascii="Liberation Sans" w:hAnsi="Liberation Sans"/>
        </w:rPr>
        <w:t>After his ask t</w:t>
      </w:r>
      <w:r>
        <w:rPr>
          <w:rFonts w:ascii="Liberation Sans" w:hAnsi="Liberation Sans"/>
        </w:rPr>
        <w:t xml:space="preserve">he minutes stop and don’t cover what did happen, it wasn’t Norviel’s ask. It ended up being just an additional 1 MAF </w:t>
      </w:r>
      <w:r>
        <w:rPr>
          <w:rFonts w:ascii="Liberation Sans" w:hAnsi="Liberation Sans"/>
        </w:rPr>
        <w:t>split between Arizona and California</w:t>
      </w:r>
      <w:r>
        <w:rPr>
          <w:rFonts w:ascii="Liberation Sans" w:hAnsi="Liberation Sans"/>
        </w:rPr>
        <w:t xml:space="preserve"> when there was surplus </w:t>
      </w:r>
      <w:r>
        <w:rPr>
          <w:rFonts w:ascii="Liberation Sans" w:hAnsi="Liberation Sans"/>
        </w:rPr>
        <w:t>water</w:t>
      </w:r>
      <w:r>
        <w:rPr>
          <w:rFonts w:ascii="Liberation Sans" w:hAnsi="Liberation Sans"/>
        </w:rPr>
        <w:t>.  C</w:t>
      </w:r>
      <w:r>
        <w:rPr>
          <w:rFonts w:ascii="Liberation Sans" w:hAnsi="Liberation Sans"/>
        </w:rPr>
        <w:t>aliforia</w:t>
      </w:r>
      <w:r>
        <w:rPr>
          <w:rFonts w:ascii="Liberation Sans" w:hAnsi="Liberation Sans"/>
        </w:rPr>
        <w:t xml:space="preserve"> took it all before CAP came on line</w:t>
      </w:r>
      <w:r>
        <w:rPr>
          <w:rFonts w:ascii="Liberation Sans" w:hAnsi="Liberation Sans"/>
        </w:rPr>
        <w:t>, exceeding their 4.4 MAF limitation and diverting 5 to 5.5 MAF.</w:t>
      </w:r>
    </w:p>
    <w:p>
      <w:pPr>
        <w:pStyle w:val="Normal"/>
        <w:rPr>
          <w:rFonts w:ascii="Liberation Sans" w:hAnsi="Liberation Sans"/>
        </w:rPr>
      </w:pPr>
      <w:r>
        <w:rPr/>
      </w:r>
    </w:p>
    <w:p>
      <w:pPr>
        <w:pStyle w:val="Normal"/>
        <w:rPr/>
      </w:pPr>
      <w:r>
        <w:rPr>
          <w:rFonts w:ascii="Liberation Sans" w:hAnsi="Liberation Sans"/>
        </w:rPr>
        <w:t xml:space="preserve">Eric </w:t>
      </w:r>
      <w:r>
        <w:rPr>
          <w:rFonts w:ascii="Liberation Sans" w:hAnsi="Liberation Sans"/>
        </w:rPr>
        <w:t>Kuhn’s</w:t>
      </w:r>
      <w:r>
        <w:rPr>
          <w:rFonts w:ascii="Liberation Sans" w:hAnsi="Liberation Sans"/>
        </w:rPr>
        <w:t xml:space="preserve"> assertion </w:t>
      </w:r>
      <w:r>
        <w:rPr>
          <w:rFonts w:ascii="Liberation Sans" w:hAnsi="Liberation Sans"/>
        </w:rPr>
        <w:t>is</w:t>
      </w:r>
      <w:r>
        <w:rPr>
          <w:rFonts w:ascii="Liberation Sans" w:hAnsi="Liberation Sans"/>
        </w:rPr>
        <w:t xml:space="preserve"> that in 1922 everyone knew the U</w:t>
      </w:r>
      <w:r>
        <w:rPr>
          <w:rFonts w:ascii="Liberation Sans" w:hAnsi="Liberation Sans"/>
        </w:rPr>
        <w:t>pper Basin</w:t>
      </w:r>
      <w:r>
        <w:rPr>
          <w:rFonts w:ascii="Liberation Sans" w:hAnsi="Liberation Sans"/>
        </w:rPr>
        <w:t xml:space="preserve"> wouldn’t be able to develop more than 6.1-6.5MAF so </w:t>
      </w:r>
      <w:r>
        <w:rPr>
          <w:rFonts w:ascii="Liberation Sans" w:hAnsi="Liberation Sans"/>
        </w:rPr>
        <w:t>they</w:t>
      </w:r>
      <w:r>
        <w:rPr>
          <w:rFonts w:ascii="Liberation Sans" w:hAnsi="Liberation Sans"/>
        </w:rPr>
        <w:t xml:space="preserve"> had a bubble in </w:t>
      </w:r>
      <w:r>
        <w:rPr>
          <w:rFonts w:ascii="Liberation Sans" w:hAnsi="Liberation Sans"/>
        </w:rPr>
        <w:t>their</w:t>
      </w:r>
      <w:r>
        <w:rPr>
          <w:rFonts w:ascii="Liberation Sans" w:hAnsi="Liberation Sans"/>
        </w:rPr>
        <w:t xml:space="preserve"> entitlement at 7.5 </w:t>
      </w:r>
      <w:r>
        <w:rPr>
          <w:rFonts w:ascii="Liberation Sans" w:hAnsi="Liberation Sans"/>
        </w:rPr>
        <w:t xml:space="preserve">MAF </w:t>
      </w:r>
      <w:r>
        <w:rPr>
          <w:rFonts w:ascii="Liberation Sans" w:hAnsi="Liberation Sans"/>
        </w:rPr>
        <w:t xml:space="preserve">that was of concern to </w:t>
      </w:r>
      <w:r>
        <w:rPr>
          <w:rFonts w:ascii="Liberation Sans" w:hAnsi="Liberation Sans"/>
        </w:rPr>
        <w:t>the Lower Basin</w:t>
      </w:r>
      <w:r>
        <w:rPr>
          <w:rFonts w:ascii="Liberation Sans" w:hAnsi="Liberation Sans"/>
        </w:rPr>
        <w:t>.  The solution was to give the Lower Basin an extra 1 MAF to offset it</w:t>
      </w:r>
      <w:r>
        <w:rPr>
          <w:rFonts w:ascii="Liberation Sans" w:hAnsi="Liberation Sans"/>
        </w:rPr>
        <w:t>, which is how III(b) worked until the 2003 QSA when their was no more surplus and California was forced back under their 4.4 limitation,.</w:t>
      </w:r>
    </w:p>
    <w:p>
      <w:pPr>
        <w:pStyle w:val="Normal"/>
        <w:rPr/>
      </w:pPr>
      <w:r>
        <w:rPr>
          <w:rFonts w:ascii="Liberation Sans" w:hAnsi="Liberation Sans"/>
        </w:rPr>
        <w:t>With 20/20 hindsight it would’ve been better to cut the U</w:t>
      </w:r>
      <w:r>
        <w:rPr>
          <w:rFonts w:ascii="Liberation Sans" w:hAnsi="Liberation Sans"/>
        </w:rPr>
        <w:t xml:space="preserve">pper Basin </w:t>
      </w:r>
      <w:r>
        <w:rPr>
          <w:rFonts w:ascii="Liberation Sans" w:hAnsi="Liberation Sans"/>
        </w:rPr>
        <w:t xml:space="preserve">entitlement to 6.5 MAF but they thought they had a big river then. If the Compact is </w:t>
      </w:r>
      <w:r>
        <w:rPr>
          <w:rFonts w:ascii="Liberation Sans" w:hAnsi="Liberation Sans"/>
        </w:rPr>
        <w:t>re</w:t>
      </w:r>
      <w:r>
        <w:rPr>
          <w:rFonts w:ascii="Liberation Sans" w:hAnsi="Liberation Sans"/>
        </w:rPr>
        <w:t>opened for amendment</w:t>
      </w:r>
      <w:r>
        <w:rPr>
          <w:rFonts w:ascii="Liberation Sans" w:hAnsi="Liberation Sans"/>
        </w:rPr>
        <w:t>s</w:t>
      </w:r>
      <w:r>
        <w:rPr>
          <w:rFonts w:ascii="Liberation Sans" w:hAnsi="Liberation Sans"/>
        </w:rPr>
        <w:t xml:space="preserve"> in the coming tumult, </w:t>
      </w:r>
      <w:r>
        <w:rPr>
          <w:rFonts w:ascii="Liberation Sans" w:hAnsi="Liberation Sans"/>
        </w:rPr>
        <w:t>amendment is</w:t>
      </w:r>
      <w:r>
        <w:rPr>
          <w:rFonts w:ascii="Liberation Sans" w:hAnsi="Liberation Sans"/>
        </w:rPr>
        <w:t xml:space="preserve"> a hard process, consideration should be given to removing III(b) and cutting the U</w:t>
      </w:r>
      <w:r>
        <w:rPr>
          <w:rFonts w:ascii="Liberation Sans" w:hAnsi="Liberation Sans"/>
        </w:rPr>
        <w:t>pper Basin</w:t>
      </w:r>
      <w:r>
        <w:rPr>
          <w:rFonts w:ascii="Liberation Sans" w:hAnsi="Liberation Sans"/>
        </w:rPr>
        <w:t xml:space="preserve"> entitlement to 6.5 </w:t>
      </w:r>
      <w:r>
        <w:rPr>
          <w:rFonts w:ascii="Liberation Sans" w:hAnsi="Liberation Sans"/>
        </w:rPr>
        <w:t>MAF.</w:t>
      </w:r>
      <w:r>
        <w:rPr>
          <w:rFonts w:ascii="Liberation Sans" w:hAnsi="Liberation Sans"/>
        </w:rPr>
        <w:t xml:space="preserve"> It removes any chance of future L</w:t>
      </w:r>
      <w:r>
        <w:rPr>
          <w:rFonts w:ascii="Liberation Sans" w:hAnsi="Liberation Sans"/>
        </w:rPr>
        <w:t>ower Basin</w:t>
      </w:r>
      <w:r>
        <w:rPr>
          <w:rFonts w:ascii="Liberation Sans" w:hAnsi="Liberation Sans"/>
        </w:rPr>
        <w:t xml:space="preserve"> use of the surplus water and doesn’t really matter to </w:t>
      </w:r>
      <w:r>
        <w:rPr>
          <w:rFonts w:ascii="Liberation Sans" w:hAnsi="Liberation Sans"/>
        </w:rPr>
        <w:t>the Upper Basin</w:t>
      </w:r>
      <w:r>
        <w:rPr>
          <w:rFonts w:ascii="Liberation Sans" w:hAnsi="Liberation Sans"/>
        </w:rPr>
        <w:t xml:space="preserve">. </w:t>
      </w:r>
      <w:r>
        <w:rPr>
          <w:rFonts w:ascii="Liberation Sans" w:hAnsi="Liberation Sans"/>
        </w:rPr>
        <w:t>They</w:t>
      </w:r>
      <w:r>
        <w:rPr>
          <w:rFonts w:ascii="Liberation Sans" w:hAnsi="Liberation Sans"/>
        </w:rPr>
        <w:t xml:space="preserve"> will never develop 7.5 </w:t>
      </w:r>
      <w:r>
        <w:rPr>
          <w:rFonts w:ascii="Liberation Sans" w:hAnsi="Liberation Sans"/>
        </w:rPr>
        <w:t>MAF</w:t>
      </w:r>
      <w:r>
        <w:rPr>
          <w:rFonts w:ascii="Liberation Sans" w:hAnsi="Liberation Sans"/>
        </w:rPr>
        <w:t xml:space="preserve">. It would eliminate a constant source of confusion </w:t>
      </w:r>
      <w:r>
        <w:rPr>
          <w:rFonts w:ascii="Liberation Sans" w:hAnsi="Liberation Sans"/>
        </w:rPr>
        <w:t>and friction</w:t>
      </w:r>
      <w:r>
        <w:rPr>
          <w:rFonts w:ascii="Liberation Sans" w:hAnsi="Liberation Sans"/>
        </w:rPr>
        <w:t xml:space="preserve">.  </w:t>
      </w:r>
      <w:r>
        <w:rPr>
          <w:rFonts w:ascii="Liberation Sans" w:hAnsi="Liberation Sans"/>
        </w:rPr>
        <w:t>The compact would be simpler.</w:t>
      </w:r>
    </w:p>
    <w:p>
      <w:pPr>
        <w:pStyle w:val="Normal"/>
        <w:rPr/>
      </w:pPr>
      <w:r>
        <w:rPr>
          <w:rFonts w:ascii="Liberation Sans" w:hAnsi="Liberation Sans"/>
        </w:rPr>
        <w:t xml:space="preserve">Another possible amendment is to do Norviel’s ask and use III(b) to cover the Gila natural flow at the confluence. </w:t>
      </w:r>
      <w:r>
        <w:rPr>
          <w:rFonts w:ascii="Liberation Sans" w:hAnsi="Liberation Sans"/>
        </w:rPr>
        <w:t>The Gila</w:t>
      </w:r>
      <w:r>
        <w:rPr>
          <w:rFonts w:ascii="Liberation Sans" w:hAnsi="Liberation Sans"/>
        </w:rPr>
        <w:t xml:space="preserve"> is a problem.</w:t>
      </w:r>
      <w:r>
        <w:rPr>
          <w:rFonts w:ascii="Liberation Sans" w:hAnsi="Liberation Sans"/>
        </w:rPr>
        <w:t xml:space="preserve"> </w:t>
      </w:r>
    </w:p>
    <w:p>
      <w:pPr>
        <w:pStyle w:val="Heading2"/>
        <w:rPr/>
      </w:pPr>
      <w:r>
        <w:rPr/>
        <w:t>Gila River</w:t>
      </w:r>
    </w:p>
    <w:p>
      <w:pPr>
        <w:pStyle w:val="Normal"/>
        <w:rPr>
          <w:rFonts w:ascii="Liberation Sans" w:hAnsi="Liberation Sans"/>
        </w:rPr>
      </w:pPr>
      <w:r>
        <w:rPr>
          <w:rFonts w:ascii="Liberation Sans" w:hAnsi="Liberation Sans"/>
          <w:color w:val="000000"/>
          <w:shd w:fill="auto" w:val="clear"/>
        </w:rPr>
        <w:t xml:space="preserve">The canonical Upper Basin position on the exclusion ("removal") of the Gila River from Colorado River Compact accounting, as affirmed in the 1963 Arizona v. California Supreme Court decision, is that the ruling's scope is limited to interpreting the Boulder Canyon Project Act (BCPA) and mainstream apportionments among Lower Basin states (Arizona: 2.8 MAF, California: 4.4 MAF, Nevada: 0.3 MAF from the 7.5 MAF mainstream allocation). </w:t>
      </w:r>
    </w:p>
    <w:p>
      <w:pPr>
        <w:pStyle w:val="Normal"/>
        <w:rPr>
          <w:rFonts w:ascii="Liberation Sans" w:hAnsi="Liberation Sans"/>
        </w:rPr>
      </w:pPr>
      <w:r>
        <w:rPr>
          <w:rFonts w:ascii="Liberation Sans" w:hAnsi="Liberation Sans"/>
          <w:color w:val="000000"/>
          <w:shd w:fill="auto" w:val="clear"/>
        </w:rPr>
        <w:t xml:space="preserve">It does not alter the Compact's broader inclusion of all Lower Basin tributaries—like the Gila—in the definition of the "Colorado River System" (Article II(a)), which encompasses the river and its tributaries within the U.S. for basin-wide apportionment purposes. Upper Basin states argue that the Compact's text (e.g., Articles III(a)–(c)) apportions 7.5 MAF + 1 MAF to the Lower Basin from the entire system, including tributaries, to determine total available water, surpluses, and shared obligations such as deliveries to Mexico under Article III(c). </w:t>
      </w:r>
    </w:p>
    <w:p>
      <w:pPr>
        <w:pStyle w:val="Normal"/>
        <w:rPr>
          <w:rFonts w:ascii="Liberation Sans" w:hAnsi="Liberation Sans"/>
        </w:rPr>
      </w:pPr>
      <w:r>
        <w:rPr>
          <w:rFonts w:ascii="Liberation Sans" w:hAnsi="Liberation Sans"/>
          <w:color w:val="000000"/>
          <w:shd w:fill="auto" w:val="clear"/>
        </w:rPr>
        <w:t>Excluding the Gila allows Arizona unrestricted use (estimated 1–3.5 MAF annually, depending on hydrology) beyond its mainstream share, effectively enabling the Lower Basin to exceed its 8.5 MAF system-wide entitlement. This, they contend, imbalances the basin, increases pressure on Upper Basin deliveries at Lee Ferry (to meet the non-depletion obligation of 75 MAF over 10 years under Article III(d)), and shifts a disproportionate burden for shortages or Mexico deliveries onto the Upper Basin amid climate-driven reductions in natural flows.</w:t>
      </w:r>
    </w:p>
    <w:p>
      <w:pPr>
        <w:pStyle w:val="Normal"/>
        <w:rPr>
          <w:rFonts w:ascii="Liberation Sans" w:hAnsi="Liberation Sans"/>
        </w:rPr>
      </w:pPr>
      <w:r>
        <w:rPr>
          <w:rFonts w:ascii="Liberation Sans" w:hAnsi="Liberation Sans"/>
          <w:color w:val="000000"/>
          <w:shd w:fill="auto" w:val="clear"/>
        </w:rPr>
        <w:t xml:space="preserve">Historically, during Arizona v. California litigation, Upper Basin intervenors supported tributary exclusion from BCPA mainstream accounting to protect against precedents that might encroach on Upper tributaries or allow California to claim more mainstream water, potentially affecting inter-basin equity. </w:t>
      </w:r>
    </w:p>
    <w:p>
      <w:pPr>
        <w:pStyle w:val="Normal"/>
        <w:rPr>
          <w:rFonts w:ascii="Liberation Sans" w:hAnsi="Liberation Sans"/>
        </w:rPr>
      </w:pPr>
      <w:r>
        <w:rPr>
          <w:rFonts w:ascii="Liberation Sans" w:hAnsi="Liberation Sans"/>
          <w:color w:val="000000"/>
          <w:shd w:fill="auto" w:val="clear"/>
        </w:rPr>
        <w:t>However, in modern interpretations (e.g., post-2000 negotiations and analyses like the Upper Colorado River Commission's stances), the position has solidified around Compact inclusion for system accounting, rejecting the Arizona v. California exclusion as inapplicable to Compact obligations and emphasizing shared basin-wide responsibility without unilateral Upper cuts. This view is substantiated by Compact negotiation records (e.g., 1922 minutes showing intent for inclusive apportionment) and critiques that the extra 1 MAF in Article III(b) was meant to accommodate Gila uses within—not beyond—the Lower Basin's total share.</w:t>
      </w:r>
    </w:p>
    <w:p>
      <w:pPr>
        <w:pStyle w:val="Normal"/>
        <w:rPr>
          <w:rFonts w:ascii="Liberation Sans" w:hAnsi="Liberation Sans"/>
          <w:color w:val="000000"/>
          <w:shd w:fill="auto" w:val="clear"/>
        </w:rPr>
      </w:pPr>
      <w:r>
        <w:rPr>
          <w:rFonts w:ascii="Liberation Sans" w:hAnsi="Liberation Sans"/>
          <w:color w:val="000000"/>
          <w:shd w:fill="auto" w:val="clear"/>
        </w:rPr>
        <w:t>T</w:t>
      </w:r>
      <w:r>
        <w:rPr>
          <w:rFonts w:ascii="Liberation Sans" w:hAnsi="Liberation Sans"/>
          <w:color w:val="000000"/>
          <w:shd w:fill="auto" w:val="clear"/>
        </w:rPr>
        <w:t>here are stronger, more persuasive arguments in the canonical Upper Basin position on the Gila River's exclusion from Colorado River Compact accounting (as established by Arizona v. California in 1963). The initial textual argument—that the Compact's definition of the "Colorado River System" in Article II(a) explicitly includes all tributaries—is solid but often seen as somewhat literalist and countered by the Supreme Court's narrow reading of the Boulder Canyon Project Act (BCPA). Better arguments focus on equity, intent, basin-wide balance, and practical consequences amid declining flows.Stronger Upper Basin Arguments</w:t>
      </w:r>
    </w:p>
    <w:p>
      <w:pPr>
        <w:pStyle w:val="TextBody"/>
        <w:numPr>
          <w:ilvl w:val="0"/>
          <w:numId w:val="11"/>
        </w:numPr>
        <w:tabs>
          <w:tab w:val="clear" w:pos="720"/>
          <w:tab w:val="left" w:pos="0" w:leader="none"/>
        </w:tabs>
        <w:bidi w:val="0"/>
        <w:spacing w:before="0" w:after="0"/>
        <w:ind w:left="709" w:hanging="283"/>
        <w:rPr>
          <w:rFonts w:ascii="Liberation Sans" w:hAnsi="Liberation Sans"/>
          <w:color w:val="000000"/>
          <w:shd w:fill="auto" w:val="clear"/>
        </w:rPr>
      </w:pPr>
      <w:r>
        <w:rPr>
          <w:rFonts w:ascii="Liberation Sans" w:hAnsi="Liberation Sans"/>
          <w:color w:val="000000"/>
          <w:shd w:fill="auto" w:val="clear"/>
        </w:rPr>
        <w:t>The Extra 1 MAF in Article III(b) Was Intended as Compensation for Gila Inclusion</w:t>
        <w:br/>
        <w:t>During 1922 negotiations, Arizona strongly opposed including the Gila (its dominant tributary) because its waters enter far downstream and cannot be reused in the U.S. after mixing with the mainstream. Upper Basin delegates agreed to the additional 1 MAF allocation to the Lower Basin (beyond the base 7.5 MAF in III(a)) specifically to offset Arizona's Gila uses—meaning the Gila was factored into the overall Lower Basin entitlement. Excluding it now lets Arizona enjoy unrestricted Gila consumption (often 2–3+ MAF in wet years) plus its full 2.8 MAF mainstream share, effectively giving the Lower Basin more than its intended 8.5 MAF system total. This violates the Compact's equitable intent and forces the Upper Basin to subsidize Lower Basin "over-allocation" through higher Lee Ferry releases.</w:t>
      </w:r>
    </w:p>
    <w:p>
      <w:pPr>
        <w:pStyle w:val="TextBody"/>
        <w:numPr>
          <w:ilvl w:val="0"/>
          <w:numId w:val="11"/>
        </w:numPr>
        <w:tabs>
          <w:tab w:val="clear" w:pos="720"/>
          <w:tab w:val="left" w:pos="0" w:leader="none"/>
        </w:tabs>
        <w:bidi w:val="0"/>
        <w:spacing w:before="0" w:after="0"/>
        <w:ind w:left="709" w:hanging="283"/>
        <w:rPr>
          <w:rFonts w:ascii="Liberation Sans" w:hAnsi="Liberation Sans"/>
          <w:color w:val="000000"/>
          <w:shd w:fill="auto" w:val="clear"/>
        </w:rPr>
      </w:pPr>
      <w:r>
        <w:rPr>
          <w:rFonts w:ascii="Liberation Sans" w:hAnsi="Liberation Sans"/>
          <w:color w:val="000000"/>
          <w:shd w:fill="auto" w:val="clear"/>
        </w:rPr>
        <w:t>Basin-Wide Equity and Shared Burden for Shortages/Mexico Obligations</w:t>
        <w:br/>
        <w:t>The Compact apportions the entire system (mainstream + tributaries) to ensure balanced development. By excluding the Gila (24% of the basin's drainage area), Arizona's effective Lower Basin consumptive use often exceeds the 7.5 MAF mainstream + 1 MAF extra, increasing pressure on Upper Basin flows to meet Article III(c) Mexico treaty obligations (shared equally unless surplus exists). Upper Basin states argue this creates asymmetry: they face climate-driven shortages without "credit" for their own undeveloped allocations, while Arizona benefits from tributary exclusion without bearing proportional responsibility. This undermines the Compact's goal of preventing one basin from disproportionately burdening the other.</w:t>
      </w:r>
    </w:p>
    <w:p>
      <w:pPr>
        <w:pStyle w:val="TextBody"/>
        <w:numPr>
          <w:ilvl w:val="0"/>
          <w:numId w:val="11"/>
        </w:numPr>
        <w:tabs>
          <w:tab w:val="clear" w:pos="720"/>
          <w:tab w:val="left" w:pos="0" w:leader="none"/>
        </w:tabs>
        <w:bidi w:val="0"/>
        <w:spacing w:before="0" w:after="0"/>
        <w:ind w:left="709" w:hanging="283"/>
        <w:rPr>
          <w:rFonts w:ascii="Liberation Sans" w:hAnsi="Liberation Sans"/>
          <w:color w:val="000000"/>
          <w:shd w:fill="auto" w:val="clear"/>
        </w:rPr>
      </w:pPr>
      <w:r>
        <w:rPr>
          <w:rFonts w:ascii="Liberation Sans" w:hAnsi="Liberation Sans"/>
          <w:color w:val="000000"/>
          <w:shd w:fill="auto" w:val="clear"/>
        </w:rPr>
        <w:t>Historical Negotiation Context and Arizona's Own Position</w:t>
        <w:br/>
        <w:t>Arizona refused to ratify the Compact for decades partly because it feared Gila inclusion without safeguards—yet Arizona v. California gave Arizona the exclusion it wanted for mainstream accounting while ignoring Compact-wide implications. Upper Basin views this as selective application: the decision resolved Lower Basin internal disputes under the BCPA but did not rewrite the 1922 Compact's inclusive system definition. Negotiation records (e.g., 1922 minutes) show delegates understood tributaries would count toward basin totals to avoid upstream development being penalized by downstream claims.</w:t>
      </w:r>
    </w:p>
    <w:p>
      <w:pPr>
        <w:pStyle w:val="TextBody"/>
        <w:numPr>
          <w:ilvl w:val="0"/>
          <w:numId w:val="11"/>
        </w:numPr>
        <w:tabs>
          <w:tab w:val="clear" w:pos="720"/>
          <w:tab w:val="left" w:pos="0" w:leader="none"/>
        </w:tabs>
        <w:bidi w:val="0"/>
        <w:spacing w:before="0" w:after="0"/>
        <w:ind w:left="709" w:hanging="283"/>
        <w:rPr>
          <w:rFonts w:ascii="Liberation Sans" w:hAnsi="Liberation Sans"/>
          <w:color w:val="000000"/>
          <w:shd w:fill="auto" w:val="clear"/>
        </w:rPr>
      </w:pPr>
      <w:r>
        <w:rPr>
          <w:rFonts w:ascii="Liberation Sans" w:hAnsi="Liberation Sans"/>
          <w:color w:val="000000"/>
          <w:shd w:fill="auto" w:val="clear"/>
        </w:rPr>
        <w:t>Modern Practical and Hydrologic Reality</w:t>
        <w:br/>
        <w:t>With climate change reducing natural flows, excluding major tributaries like the Gila artificially inflates perceived Lower Basin "compliance" while the Upper Basin (which generates most runoff) absorbs disproportionate risk. Upper Basin advocates (e.g., via Upper Colorado River Commission analyses) emphasize that formal water budgets and accounting should reflect actual system contributions for fair post-2026 operations—excluding the Gila distorts this and incentivizes inefficient Lower Basin use.</w:t>
      </w:r>
    </w:p>
    <w:p>
      <w:pPr>
        <w:pStyle w:val="TextBody"/>
        <w:numPr>
          <w:ilvl w:val="0"/>
          <w:numId w:val="11"/>
        </w:numPr>
        <w:tabs>
          <w:tab w:val="clear" w:pos="720"/>
          <w:tab w:val="left" w:pos="0" w:leader="none"/>
        </w:tabs>
        <w:bidi w:val="0"/>
        <w:spacing w:before="0" w:after="0"/>
        <w:ind w:left="709" w:hanging="283"/>
        <w:rPr>
          <w:rFonts w:ascii="Liberation Sans" w:hAnsi="Liberation Sans"/>
          <w:color w:val="000000"/>
          <w:shd w:fill="auto" w:val="clear"/>
        </w:rPr>
      </w:pPr>
      <w:r>
        <w:rPr>
          <w:rFonts w:ascii="Liberation Sans" w:hAnsi="Liberation Sans"/>
          <w:color w:val="000000"/>
          <w:shd w:fill="auto" w:val="clear"/>
        </w:rPr>
      </w:r>
    </w:p>
    <w:p>
      <w:pPr>
        <w:pStyle w:val="TextBody"/>
        <w:spacing w:before="0" w:after="0"/>
        <w:rPr>
          <w:rFonts w:ascii="Liberation Sans" w:hAnsi="Liberation Sans"/>
          <w:color w:val="000000"/>
          <w:shd w:fill="auto" w:val="clear"/>
        </w:rPr>
      </w:pPr>
      <w:r>
        <w:rPr>
          <w:rFonts w:ascii="Liberation Sans" w:hAnsi="Liberation Sans"/>
          <w:color w:val="000000"/>
          <w:shd w:fill="auto" w:val="clear"/>
        </w:rPr>
        <w:t>These arguments are more compelling because they shift from pure textualism to equitable apportionment principles (embedded in Compact negotiations), original intent, and current hydrologic equity—key in ongoing post-2026 negotiations where Upper Basin states resist mandatory cuts without basin-wide accounting reforms. The position avoids over-relying on the Supreme Court's BCPA-specific ruling, instead framing exclusion as an unintended loophole that imbalances the 1922 framework.</w:t>
      </w:r>
    </w:p>
    <w:p>
      <w:pPr>
        <w:pStyle w:val="Normal"/>
        <w:rPr>
          <w:color w:val="000000"/>
          <w:shd w:fill="auto" w:val="clear"/>
        </w:rPr>
      </w:pPr>
      <w:r>
        <w:rPr>
          <w:rFonts w:ascii="Liberation Sans" w:hAnsi="Liberation Sans"/>
        </w:rPr>
      </w:r>
    </w:p>
    <w:p>
      <w:pPr>
        <w:pStyle w:val="Heading2"/>
        <w:rPr/>
      </w:pPr>
      <w:r>
        <w:rPr/>
        <w:t>III(d)</w:t>
      </w:r>
    </w:p>
    <w:p>
      <w:pPr>
        <w:pStyle w:val="Normal"/>
        <w:rPr>
          <w:rFonts w:ascii="Liberation Sans" w:hAnsi="Liberation Sans"/>
        </w:rPr>
      </w:pPr>
      <w:r>
        <w:rPr>
          <w:rFonts w:ascii="Liberation Sans" w:hAnsi="Liberation Sans"/>
          <w:color w:val="000000"/>
          <w:shd w:fill="auto" w:val="clear"/>
        </w:rPr>
        <w:t>The canonical Upper Basin position on the core dispute in the Colorado River Compact of 1922 (particularly Article III(d)) centers on interpreting the Upper Division states' (Colorado, New Mexico, Utah, Wyoming) obligation as a "non-depletion" duty rather than a strict delivery guarantee to the Lower Basin (Arizona, California, Nevada).Article III(d) states: the Upper Division states "will not cause the flow of the river at Lee Ferry to be depleted below an aggregate of 75,000,000 acre-feet for any period of ten consecutive years." The Upper Basin interprets this literally as a prohibition on their own actions causing depletion—meaning they must not consume (deplete) more than their share in a way that drops the 10-year rolling flow at Lee Ferry (just below Glen Canyon Dam) below 75 million acre-feet (MAF), averaging 7.5 MAF/year.Key elements of the Upper Basin view:</w:t>
      </w:r>
    </w:p>
    <w:p>
      <w:pPr>
        <w:pStyle w:val="Normal"/>
        <w:numPr>
          <w:ilvl w:val="0"/>
          <w:numId w:val="1"/>
        </w:numPr>
        <w:rPr/>
      </w:pPr>
      <w:r>
        <w:rPr>
          <w:rFonts w:ascii="Liberation Sans" w:hAnsi="Liberation Sans"/>
          <w:color w:val="000000"/>
          <w:shd w:fill="auto" w:val="clear"/>
        </w:rPr>
        <w:t>No absolute delivery obligation — They are not required to guarantee or "deliver" 7.5 MAF annually (or 75 MAF/10 years) to the Lower Basin regardless of natural conditions. If low runoff from climate change, drought, or aridity reduces natural flows, the Upper Basin is not at fault and should not face forced cuts solely to meet a fixed delivery target.</w:t>
      </w:r>
    </w:p>
    <w:p>
      <w:pPr>
        <w:pStyle w:val="Normal"/>
        <w:numPr>
          <w:ilvl w:val="0"/>
          <w:numId w:val="1"/>
        </w:numPr>
        <w:rPr/>
      </w:pPr>
      <w:r>
        <w:rPr>
          <w:rFonts w:ascii="Liberation Sans" w:hAnsi="Liberation Sans"/>
          <w:color w:val="000000"/>
          <w:shd w:fill="auto" w:val="clear"/>
        </w:rPr>
        <w:t>Consumptive use cap — Their primary limit is their own beneficial consumptive use (up to 7.5 MAF/year basin-wide under Article III(a)), plus their share of U.S. treaty water to Mexico if no surplus exists (Article III(c)). They argue they have never fully used their 7.5 MAF allocation (often ~4–5 MAF in recent decades), so any shortfall at Lee Ferry stems from reduced supply, not overuse.</w:t>
      </w:r>
    </w:p>
    <w:p>
      <w:pPr>
        <w:pStyle w:val="Normal"/>
        <w:numPr>
          <w:ilvl w:val="0"/>
          <w:numId w:val="1"/>
        </w:numPr>
        <w:rPr/>
      </w:pPr>
      <w:r>
        <w:rPr>
          <w:rFonts w:ascii="Liberation Sans" w:hAnsi="Liberation Sans"/>
          <w:color w:val="000000"/>
          <w:shd w:fill="auto" w:val="clear"/>
        </w:rPr>
        <w:t>Climate change as force majeure — Depletion caused by natural variability or long-term aridification (not human depletions in the Upper Basin) does not trigger a Compact violation or "call" requiring Upper Basin curtailments. This protects upstream development rights, as the Compact was designed to allow Upper Basin growth without being penalized by prior Lower Basin claims.</w:t>
      </w:r>
    </w:p>
    <w:p>
      <w:pPr>
        <w:pStyle w:val="Normal"/>
        <w:numPr>
          <w:ilvl w:val="0"/>
          <w:numId w:val="1"/>
        </w:numPr>
        <w:rPr/>
      </w:pPr>
      <w:r>
        <w:rPr>
          <w:rFonts w:ascii="Liberation Sans" w:hAnsi="Liberation Sans"/>
          <w:color w:val="000000"/>
          <w:shd w:fill="auto" w:val="clear"/>
        </w:rPr>
        <w:t>Contrast with Lower Basin view — Lower Basin states read III(d) as imposing a firm delivery requirement (strict liability for 75 MAF/10 years at Lee Ferry, potentially including half of Mexico's share under operating criteria), enforceable via litigation if flows fall short.</w:t>
      </w:r>
    </w:p>
    <w:p>
      <w:pPr>
        <w:pStyle w:val="TextBody"/>
        <w:spacing w:before="0" w:after="0"/>
        <w:rPr>
          <w:rFonts w:ascii="Liberation Sans" w:hAnsi="Liberation Sans"/>
          <w:color w:val="000000"/>
          <w:shd w:fill="auto" w:val="clear"/>
        </w:rPr>
      </w:pPr>
      <w:r>
        <w:rPr>
          <w:rFonts w:ascii="Liberation Sans" w:hAnsi="Liberation Sans"/>
          <w:color w:val="000000"/>
          <w:shd w:fill="auto" w:val="clear"/>
        </w:rPr>
        <w:t>This interpretation aligns with the Compact's 1922 context: Upper Basin delegates feared Lower Basin storage projects (like Hoover Dam) could establish prior rights before upstream states developed, so they insisted on "non-depletion" language to safeguard future use. The Upper Basin Compact (1948) reinforces this by allocating percentages of available water after meeting Compact obligations, without mandating fixed deliveries. In modern negotiations (post-2026 guidelines), this stance emphasizes shared basin-wide responsibility for shortages driven by climate, not unilateral Upper Basin cuts, while rejecting litigation threats of a "Compact call."</w:t>
      </w:r>
    </w:p>
    <w:p>
      <w:pPr>
        <w:pStyle w:val="Normal"/>
        <w:rPr>
          <w:rFonts w:ascii="Liberation Sans" w:hAnsi="Liberation Sans"/>
        </w:rPr>
      </w:pPr>
      <w:r>
        <w:rPr>
          <w:rFonts w:ascii="Liberation Sans" w:hAnsi="Liberation Sans"/>
        </w:rPr>
      </w:r>
    </w:p>
    <w:p>
      <w:pPr>
        <w:pStyle w:val="Normal"/>
        <w:spacing w:before="0" w:after="0"/>
        <w:rPr>
          <w:rFonts w:ascii="Liberation Sans" w:hAnsi="Liberation Sans"/>
        </w:rPr>
      </w:pPr>
      <w:r>
        <w:rPr>
          <w:rFonts w:ascii="Liberation Sans" w:hAnsi="Liberation Sans"/>
        </w:rPr>
      </w:r>
    </w:p>
    <w:p>
      <w:pPr>
        <w:pStyle w:val="Heading1"/>
        <w:rPr>
          <w:rFonts w:ascii="Liberation Sans" w:hAnsi="Liberation Sans"/>
        </w:rPr>
      </w:pPr>
      <w:r>
        <w:rPr>
          <w:rFonts w:ascii="Liberation Sans" w:hAnsi="Liberation Sans"/>
        </w:rPr>
      </w:r>
      <w:r>
        <w:br w:type="page"/>
      </w:r>
    </w:p>
    <w:p>
      <w:pPr>
        <w:pStyle w:val="Heading1"/>
        <w:rPr/>
      </w:pPr>
      <w:bookmarkStart w:id="14" w:name="__RefHeading___Toc777_3032948006"/>
      <w:bookmarkEnd w:id="14"/>
      <w:r>
        <w:rPr/>
        <w:t>Problems</w:t>
      </w:r>
    </w:p>
    <w:p>
      <w:pPr>
        <w:pStyle w:val="Heading2"/>
        <w:rPr/>
      </w:pPr>
      <w:bookmarkStart w:id="15" w:name="__RefHeading___Toc779_3032948006"/>
      <w:bookmarkEnd w:id="15"/>
      <w:r>
        <w:rPr/>
        <w:t>Salton Sea and IID Wastewater</w:t>
      </w:r>
    </w:p>
    <w:p>
      <w:pPr>
        <w:pStyle w:val="TextBody"/>
        <w:spacing w:before="0" w:after="0"/>
        <w:rPr>
          <w:rFonts w:ascii="Liberation Sans" w:hAnsi="Liberation Sans"/>
        </w:rPr>
      </w:pPr>
      <w:r>
        <w:rPr>
          <w:rFonts w:ascii="Liberation Sans" w:hAnsi="Liberation Sans"/>
          <w:color w:val="313131"/>
        </w:rPr>
        <w:t xml:space="preserve">In 1904 the Salton trough was a dry lake </w:t>
      </w:r>
      <w:r>
        <w:rPr>
          <w:rFonts w:ascii="Liberation Sans" w:hAnsi="Liberation Sans"/>
          <w:color w:val="313131"/>
        </w:rPr>
        <w:t xml:space="preserve">more than </w:t>
      </w:r>
      <w:r>
        <w:rPr>
          <w:rFonts w:ascii="Liberation Sans" w:hAnsi="Liberation Sans"/>
          <w:color w:val="313131"/>
        </w:rPr>
        <w:t xml:space="preserve">200 ft below sea level.  </w:t>
      </w:r>
      <w:r>
        <w:rPr>
          <w:rFonts w:ascii="Liberation Sans" w:hAnsi="Liberation Sans"/>
          <w:color w:val="313131"/>
          <w:shd w:fill="auto" w:val="clear"/>
        </w:rPr>
        <w:t>In spring 1905, an engineering mishap led to a major breach of the Colorado River's bank that wasn’t closed until February 1907.  The breach filled the sea with 15 MAF of water.</w:t>
      </w:r>
      <w:r>
        <w:rPr>
          <w:rFonts w:ascii="Liberation Sans" w:hAnsi="Liberation Sans"/>
          <w:color w:val="313131"/>
        </w:rPr>
        <w:br/>
        <w:br/>
        <w:t>The Salton Sea is now evaporating 1.3 MAF a year. That’s as much as Mead and Powell combined, It’s not sustainable from Colorado River system water, really.</w:t>
      </w:r>
    </w:p>
    <w:p>
      <w:pPr>
        <w:pStyle w:val="TextBody"/>
        <w:spacing w:before="0" w:after="0"/>
        <w:rPr>
          <w:color w:val="313131"/>
        </w:rPr>
      </w:pPr>
      <w:r>
        <w:rPr>
          <w:color w:val="313131"/>
        </w:rPr>
      </w:r>
    </w:p>
    <w:p>
      <w:pPr>
        <w:pStyle w:val="TextBody"/>
        <w:spacing w:before="0" w:after="0"/>
        <w:rPr>
          <w:rFonts w:ascii="Liberation Sans" w:hAnsi="Liberation Sans"/>
        </w:rPr>
      </w:pPr>
      <w:r>
        <w:rPr>
          <w:rFonts w:ascii="Liberation Sans" w:hAnsi="Liberation Sans"/>
          <w:color w:val="313131"/>
        </w:rPr>
        <w:t xml:space="preserve">Waste water, mostly from Imperial Irrigation District and Coachella sustained the sea until the 2003 Quantitative Settlement Agreement(QSA) in the wake of the 2002 drought </w:t>
      </w:r>
      <w:r>
        <w:rPr>
          <w:rFonts w:ascii="Liberation Sans" w:hAnsi="Liberation Sans"/>
          <w:color w:val="313131"/>
        </w:rPr>
        <w:t xml:space="preserve">which </w:t>
      </w:r>
      <w:r>
        <w:rPr>
          <w:rFonts w:ascii="Liberation Sans" w:hAnsi="Liberation Sans"/>
          <w:color w:val="313131"/>
        </w:rPr>
        <w:t>forced California back under its 1929 4.4 MAF limitation on Colorado River Water Use,. Before then it had been regularly diverting 5 to 5.5 MAF under Article III(b) surplus water.  The QSA pushed Imperial waster water going into the Sea below break even with Salton Sea, sea levels dropped and salinity increased.</w:t>
      </w:r>
    </w:p>
    <w:p>
      <w:pPr>
        <w:pStyle w:val="TextBody"/>
        <w:spacing w:before="0" w:after="0"/>
        <w:rPr>
          <w:rFonts w:ascii="Liberation Sans" w:hAnsi="Liberation Sans"/>
        </w:rPr>
      </w:pPr>
      <w:r>
        <w:rPr>
          <w:rFonts w:ascii="Liberation Sans" w:hAnsi="Liberation Sans"/>
          <w:color w:val="313131"/>
        </w:rPr>
        <w:br/>
        <w:t>Imperial is dumping about 750,000 af of tail and tile water(waste water) into the sea now. In total there is about 1 MAF entering the sea Imperial and Coachella are trans-basin diversions so their return flows are lost to Colorado River system water. This  water might be considered a 43 C.F.R. Part 417 water wasting violation but in the 2003 QSA deal other parties agreed to not pursue this.</w:t>
        <w:br/>
        <w:br/>
        <w:t xml:space="preserve">Environmentalists are now demanding Imperial keep dumping water into the Salton Sea to “save” it.  Any significant efficiency improvements in IID must be run through NEPA and will most probably be blocked. Environmentalist are essentially telling farmers to waste water or else!!  Directly dumping Colorado Compact System water into Salton Sea is contrary to III(e) in the compact.  Since it is IID waste water allowances have been made.  But… if NEPA is compelling IID to waste water to send it to the Sea its a question if this is counter </w:t>
      </w:r>
      <w:r>
        <w:rPr>
          <w:rFonts w:ascii="Liberation Sans" w:hAnsi="Liberation Sans"/>
          <w:color w:val="313131"/>
        </w:rPr>
        <w:t>to Article</w:t>
      </w:r>
      <w:r>
        <w:rPr>
          <w:rFonts w:ascii="Liberation Sans" w:hAnsi="Liberation Sans"/>
          <w:color w:val="313131"/>
        </w:rPr>
        <w:t xml:space="preserve"> III(e)</w:t>
        <w:br/>
      </w:r>
    </w:p>
    <w:p>
      <w:pPr>
        <w:pStyle w:val="TextBody"/>
        <w:spacing w:before="0" w:after="0"/>
        <w:rPr>
          <w:rFonts w:ascii="Liberation Sans" w:hAnsi="Liberation Sans"/>
        </w:rPr>
      </w:pPr>
      <w:r>
        <w:rPr>
          <w:rFonts w:ascii="Liberation Sans" w:hAnsi="Liberation Sans"/>
          <w:color w:val="313131"/>
        </w:rPr>
        <w:t>Salton Sea is now an artificial, doomed ecosystem, Imperial irrigation may dump 5 unit train loads of salt into it every week, with no outlet, so the salt will never leave, it supports little life now and will soon go hyper saline and support none. Imperial and Coachella are only putting 1 MAF of water in it to offset evaporation, it needs 1.3 MAF so it’s shrinking and will dry up. Salinity gets worse as it shrinks.</w:t>
      </w:r>
    </w:p>
    <w:p>
      <w:pPr>
        <w:pStyle w:val="TextBody"/>
        <w:spacing w:before="0" w:after="0"/>
        <w:rPr>
          <w:rFonts w:ascii="Liberation Sans" w:hAnsi="Liberation Sans"/>
        </w:rPr>
      </w:pPr>
      <w:r>
        <w:rPr/>
      </w:r>
    </w:p>
    <w:p>
      <w:pPr>
        <w:pStyle w:val="TextBody"/>
        <w:spacing w:before="0" w:after="0"/>
        <w:rPr>
          <w:rFonts w:ascii="Liberation Sans" w:hAnsi="Liberation Sans"/>
        </w:rPr>
      </w:pPr>
      <w:r>
        <w:rPr>
          <w:rFonts w:ascii="Liberation Sans" w:hAnsi="Liberation Sans"/>
          <w:color w:val="313131"/>
        </w:rPr>
        <w:t>One of these two paths must be chosen soon</w:t>
      </w:r>
    </w:p>
    <w:p>
      <w:pPr>
        <w:pStyle w:val="TextBody"/>
        <w:numPr>
          <w:ilvl w:val="0"/>
          <w:numId w:val="12"/>
        </w:numPr>
        <w:spacing w:before="0" w:after="0"/>
        <w:rPr>
          <w:rFonts w:ascii="Liberation Sans" w:hAnsi="Liberation Sans"/>
        </w:rPr>
      </w:pPr>
      <w:r>
        <w:rPr>
          <w:rFonts w:ascii="Liberation Sans" w:hAnsi="Liberation Sans"/>
          <w:color w:val="313131"/>
        </w:rPr>
        <w:t>California must build a pipeline to augment the Salton Sea with sea water, most probably from the Sea to Sea Pipeline from Baja.  This will be a difficult and expensive project and must be built quickly.  It will be enormously expensive to sustain a struggling artificial ecosystem</w:t>
      </w:r>
    </w:p>
    <w:p>
      <w:pPr>
        <w:pStyle w:val="TextBody"/>
        <w:numPr>
          <w:ilvl w:val="0"/>
          <w:numId w:val="12"/>
        </w:numPr>
        <w:spacing w:before="0" w:after="0"/>
        <w:rPr>
          <w:rFonts w:ascii="Liberation Sans" w:hAnsi="Liberation Sans"/>
        </w:rPr>
      </w:pPr>
      <w:r>
        <w:rPr>
          <w:rFonts w:ascii="Liberation Sans" w:hAnsi="Liberation Sans"/>
          <w:color w:val="313131"/>
        </w:rPr>
        <w:t>The better solution is to move back toward</w:t>
      </w:r>
      <w:r>
        <w:rPr>
          <w:rFonts w:ascii="Liberation Sans" w:hAnsi="Liberation Sans"/>
        </w:rPr>
        <w:t xml:space="preserve"> </w:t>
      </w:r>
      <w:r>
        <w:rPr>
          <w:rFonts w:ascii="Liberation Sans" w:hAnsi="Liberation Sans"/>
          <w:color w:val="313131"/>
        </w:rPr>
        <w:t xml:space="preserve">1904, a dry lake bed. IID </w:t>
      </w:r>
      <w:r>
        <w:rPr>
          <w:rFonts w:ascii="Liberation Sans" w:hAnsi="Liberation Sans"/>
        </w:rPr>
        <w:t xml:space="preserve">AND Coachella </w:t>
      </w:r>
      <w:r>
        <w:rPr>
          <w:rFonts w:ascii="Liberation Sans" w:hAnsi="Liberation Sans"/>
          <w:color w:val="313131"/>
        </w:rPr>
        <w:t>need to stop dumping drain and tile water in it and let it die fast instead of slow. This save 750,000 af a year in the Colorado system if the water can be salvaged for use elsewhere</w:t>
        <w:br/>
      </w:r>
    </w:p>
    <w:p>
      <w:pPr>
        <w:pStyle w:val="Normal"/>
        <w:spacing w:before="0" w:after="0"/>
        <w:rPr>
          <w:rFonts w:ascii="Liberation Sans" w:hAnsi="Liberation Sans"/>
        </w:rPr>
      </w:pPr>
      <w:r>
        <w:rPr>
          <w:rFonts w:ascii="Liberation Sans" w:hAnsi="Liberation Sans"/>
          <w:color w:val="313131"/>
        </w:rPr>
        <w:br/>
        <w:t xml:space="preserve">We could redirect 100,000 AF of the saved water to the now dry Colorado River Delta, it would bloom like Cienega is blooming, home for birds, and fix the constant demands for more water from Audubon. </w:t>
      </w:r>
      <w:r>
        <w:rPr>
          <w:rFonts w:ascii="Liberation Sans" w:hAnsi="Liberation Sans"/>
          <w:b/>
          <w:bCs/>
          <w:color w:val="313131"/>
        </w:rPr>
        <w:t>Abandon a doomed ecosystem and save a viable one.</w:t>
      </w:r>
    </w:p>
    <w:p>
      <w:pPr>
        <w:pStyle w:val="TextBody"/>
        <w:spacing w:before="0" w:after="0"/>
        <w:rPr>
          <w:rFonts w:ascii="Liberation Sans" w:hAnsi="Liberation Sans"/>
        </w:rPr>
      </w:pPr>
      <w:r>
        <w:rPr/>
      </w:r>
    </w:p>
    <w:p>
      <w:pPr>
        <w:pStyle w:val="TextBody"/>
        <w:rPr>
          <w:rFonts w:ascii="Liberation Sans" w:hAnsi="Liberation Sans"/>
        </w:rPr>
      </w:pPr>
      <w:r>
        <w:rPr>
          <w:rFonts w:ascii="Liberation Sans" w:hAnsi="Liberation Sans"/>
          <w:color w:val="313131"/>
        </w:rPr>
        <w:t xml:space="preserve">We </w:t>
      </w:r>
      <w:r>
        <w:rPr>
          <w:rFonts w:ascii="Liberation Sans" w:hAnsi="Liberation Sans"/>
          <w:color w:val="313131"/>
        </w:rPr>
        <w:t xml:space="preserve">suggest  a managed decline to a much smaller sea. A new small garden of Eden for birds and fish could be developed, possibly near towns as a buffer against the dry sea bed and dust. </w:t>
      </w:r>
      <w:r>
        <w:rPr>
          <w:rFonts w:ascii="Liberation Sans" w:hAnsi="Liberation Sans"/>
        </w:rPr>
        <w:t>T</w:t>
      </w:r>
      <w:r>
        <w:rPr>
          <w:rFonts w:ascii="Liberation Sans" w:hAnsi="Liberation Sans"/>
        </w:rPr>
        <w:t>here are already</w:t>
      </w:r>
      <w:r>
        <w:rPr>
          <w:rFonts w:ascii="Liberation Sans" w:hAnsi="Liberation Sans"/>
        </w:rPr>
        <w:t xml:space="preserve"> </w:t>
      </w:r>
      <w:r>
        <w:rPr>
          <w:rFonts w:ascii="Liberation Sans" w:hAnsi="Liberation Sans"/>
          <w:color w:val="313131"/>
        </w:rPr>
        <w:t>impoundment</w:t>
      </w:r>
      <w:r>
        <w:rPr>
          <w:rFonts w:ascii="Liberation Sans" w:hAnsi="Liberation Sans"/>
        </w:rPr>
        <w:t xml:space="preserve"> </w:t>
      </w:r>
      <w:r>
        <w:rPr>
          <w:rFonts w:ascii="Liberation Sans" w:hAnsi="Liberation Sans"/>
        </w:rPr>
        <w:t>projects</w:t>
      </w:r>
      <w:r>
        <w:rPr>
          <w:rFonts w:ascii="Liberation Sans" w:hAnsi="Liberation Sans"/>
        </w:rPr>
        <w:t xml:space="preserve"> </w:t>
      </w:r>
      <w:r>
        <w:rPr>
          <w:rFonts w:ascii="Liberation Sans" w:hAnsi="Liberation Sans"/>
          <w:color w:val="313131"/>
        </w:rPr>
        <w:t xml:space="preserve"> but they are expensive and not going well. </w:t>
      </w:r>
    </w:p>
    <w:p>
      <w:pPr>
        <w:pStyle w:val="TextBody"/>
        <w:rPr>
          <w:rFonts w:ascii="Liberation Sans" w:hAnsi="Liberation Sans"/>
        </w:rPr>
      </w:pPr>
      <w:r>
        <w:rPr>
          <w:rFonts w:ascii="Liberation Sans" w:hAnsi="Liberation Sans"/>
          <w:color w:val="313131"/>
        </w:rPr>
        <w:t>The best fix for the Upper Basin and the system would be to pump the recycled drain water</w:t>
      </w:r>
      <w:r>
        <w:rPr>
          <w:rFonts w:ascii="Liberation Sans" w:hAnsi="Liberation Sans"/>
        </w:rPr>
        <w:t xml:space="preserve"> </w:t>
      </w:r>
      <w:r>
        <w:rPr>
          <w:rFonts w:ascii="Liberation Sans" w:hAnsi="Liberation Sans"/>
          <w:color w:val="313131"/>
        </w:rPr>
        <w:t>back to the system and satisfy half the Mexico obligation under Interior’s 1968 National Obligation. Unfortunately it’s a</w:t>
      </w:r>
      <w:r>
        <w:rPr>
          <w:rFonts w:ascii="Liberation Sans" w:hAnsi="Liberation Sans"/>
          <w:color w:val="313131"/>
        </w:rPr>
        <w:t>n</w:t>
      </w:r>
      <w:r>
        <w:rPr>
          <w:rFonts w:ascii="Liberation Sans" w:hAnsi="Liberation Sans"/>
          <w:color w:val="313131"/>
        </w:rPr>
        <w:t xml:space="preserve"> 80 mile, 200 ft lift and a lot of water.</w:t>
      </w:r>
    </w:p>
    <w:p>
      <w:pPr>
        <w:pStyle w:val="TextBody"/>
        <w:rPr>
          <w:rFonts w:ascii="Liberation Sans" w:hAnsi="Liberation Sans"/>
        </w:rPr>
      </w:pPr>
      <w:r>
        <w:rPr>
          <w:rFonts w:ascii="Liberation Sans" w:hAnsi="Liberation Sans"/>
          <w:color w:val="000000"/>
        </w:rPr>
        <w:t>More practical solution is to sink the last of Sinema;</w:t>
      </w:r>
      <w:r>
        <w:rPr>
          <w:rFonts w:ascii="Liberation Sans" w:hAnsi="Liberation Sans"/>
          <w:color w:val="000000"/>
        </w:rPr>
        <w:t>s</w:t>
      </w:r>
      <w:r>
        <w:rPr>
          <w:rFonts w:ascii="Liberation Sans" w:hAnsi="Liberation Sans"/>
          <w:color w:val="000000"/>
        </w:rPr>
        <w:t xml:space="preserve"> IRA money right now into laser leveling fields and better irrigation(i.e. drip tape)</w:t>
      </w:r>
      <w:r>
        <w:rPr>
          <w:rFonts w:ascii="Liberation Sans" w:hAnsi="Liberation Sans"/>
        </w:rPr>
        <w:t>.</w:t>
      </w:r>
      <w:r>
        <w:rPr>
          <w:rFonts w:ascii="Liberation Sans" w:hAnsi="Liberation Sans"/>
          <w:color w:val="000000"/>
        </w:rPr>
        <w:t xml:space="preserve"> They have mixed incentives, Imperial would like to keep the lake, there are and will be dust and asthma issues though those aren’t quite as portrayed. A</w:t>
      </w:r>
      <w:r>
        <w:rPr>
          <w:rFonts w:ascii="Liberation Sans" w:hAnsi="Liberation Sans"/>
          <w:color w:val="000000"/>
        </w:rPr>
        <w:t>nother</w:t>
      </w:r>
      <w:r>
        <w:rPr>
          <w:rFonts w:ascii="Liberation Sans" w:hAnsi="Liberation Sans"/>
          <w:color w:val="000000"/>
        </w:rPr>
        <w:t xml:space="preserve"> big problem is Coachella and Metropolitan Water have first priority on salvage tail water without a voluntary forbearance agreement. Imperial could take much bigger shortages without a continuing infusion of DM money and they don’t lose production.</w:t>
      </w:r>
    </w:p>
    <w:p>
      <w:pPr>
        <w:pStyle w:val="TextBody"/>
        <w:rPr>
          <w:rFonts w:ascii="Liberation Sans" w:hAnsi="Liberation Sans"/>
        </w:rPr>
      </w:pPr>
      <w:r>
        <w:rPr>
          <w:rFonts w:ascii="Liberation Sans" w:hAnsi="Liberation Sans"/>
          <w:color w:val="000000"/>
        </w:rPr>
        <w:t xml:space="preserve">If such an efficiency program were to save 300,000 AF it </w:t>
      </w:r>
      <w:r>
        <w:rPr>
          <w:rFonts w:ascii="Liberation Sans" w:hAnsi="Liberation Sans"/>
          <w:color w:val="313131"/>
        </w:rPr>
        <w:t>would hammer the Salton Sea</w:t>
      </w:r>
      <w:r>
        <w:rPr>
          <w:rFonts w:ascii="Liberation Sans" w:hAnsi="Liberation Sans"/>
        </w:rPr>
        <w:t>.</w:t>
      </w:r>
      <w:r>
        <w:rPr>
          <w:rFonts w:ascii="Liberation Sans" w:hAnsi="Liberation Sans"/>
          <w:color w:val="313131"/>
        </w:rPr>
        <w:t xml:space="preserve"> </w:t>
      </w:r>
      <w:r>
        <w:rPr>
          <w:rFonts w:ascii="Liberation Sans" w:hAnsi="Liberation Sans"/>
          <w:color w:val="313131"/>
        </w:rPr>
        <w:t>and</w:t>
      </w:r>
      <w:r>
        <w:rPr>
          <w:rFonts w:ascii="Liberation Sans" w:hAnsi="Liberation Sans"/>
          <w:color w:val="313131"/>
        </w:rPr>
        <w:t xml:space="preserve"> </w:t>
      </w:r>
      <w:r>
        <w:rPr>
          <w:rFonts w:ascii="Liberation Sans" w:hAnsi="Liberation Sans"/>
          <w:color w:val="313131"/>
        </w:rPr>
        <w:t>the</w:t>
      </w:r>
      <w:r>
        <w:rPr>
          <w:rFonts w:ascii="Liberation Sans" w:hAnsi="Liberation Sans"/>
          <w:color w:val="313131"/>
        </w:rPr>
        <w:t xml:space="preserve"> IID Reserve Building Program. Environmentalists and California wont like it. </w:t>
      </w:r>
    </w:p>
    <w:p>
      <w:pPr>
        <w:pStyle w:val="Heading1"/>
        <w:rPr>
          <w:rFonts w:ascii="Liberation Sans" w:hAnsi="Liberation Sans"/>
        </w:rPr>
      </w:pPr>
      <w:r>
        <w:rPr/>
      </w:r>
    </w:p>
    <w:p>
      <w:pPr>
        <w:pStyle w:val="Normal"/>
        <w:rPr/>
      </w:pPr>
      <w:r>
        <w:rPr/>
      </w:r>
      <w:r>
        <w:br w:type="page"/>
      </w:r>
    </w:p>
    <w:p>
      <w:pPr>
        <w:pStyle w:val="Normal"/>
        <w:rPr/>
      </w:pPr>
      <w:r>
        <w:rPr/>
      </w:r>
    </w:p>
    <w:p>
      <w:pPr>
        <w:pStyle w:val="Normal"/>
        <w:rPr/>
      </w:pPr>
      <w:r>
        <w:rPr/>
        <w:t xml:space="preserve">Table 1 – Release, Consumptive Use and Reservoir Data (Not yet verified!!) </w:t>
      </w:r>
    </w:p>
    <w:p>
      <w:pPr>
        <w:pStyle w:val="Normal"/>
        <w:rPr/>
      </w:pPr>
      <w:r>
        <w:rPr/>
        <w:object w:dxaOrig="10240" w:dyaOrig="11521">
          <v:shapetype id="_x0000_tole_rId13" coordsize="21600,21600" o:spt="ole_rId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position:absolute;margin-left:-12.95pt;margin-top:0pt;width:493.9pt;height:576.05pt;mso-wrap-distance-right:0pt;mso-position-horizontal-relative:text;mso-position-vertical-relative:text" filled="f" o:ole="">
            <v:imagedata r:id="rId14" o:title=""/>
            <w10:wrap type="square"/>
          </v:shape>
          <o:OLEObject Type="Embed" ProgID="Excel.Sheet.12" ShapeID="ole_rId13" DrawAspect="Content" ObjectID="_1436880309" r:id="rId13"/>
        </w:object>
      </w:r>
    </w:p>
    <w:p>
      <w:pPr>
        <w:pStyle w:val="Normal"/>
        <w:rPr/>
      </w:pPr>
      <w:r>
        <w:rPr/>
      </w:r>
    </w:p>
    <w:p>
      <w:pPr>
        <w:pStyle w:val="Normal"/>
        <w:spacing w:before="0" w:after="20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2">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3">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4">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VisitedInternetLink">
    <w:name w:val="FollowedHyperlink"/>
    <w:rPr>
      <w:color w:val="80000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6"/>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4"/>
      </w:numPr>
      <w:spacing w:before="0" w:after="200"/>
      <w:contextualSpacing/>
    </w:pPr>
    <w:rPr/>
  </w:style>
  <w:style w:type="paragraph" w:styleId="ListBullet2">
    <w:name w:val="List Bullet 2"/>
    <w:basedOn w:val="Normal"/>
    <w:uiPriority w:val="99"/>
    <w:unhideWhenUsed/>
    <w:qFormat/>
    <w:rsid w:val="00326f90"/>
    <w:pPr>
      <w:numPr>
        <w:ilvl w:val="0"/>
        <w:numId w:val="5"/>
      </w:numPr>
      <w:spacing w:before="0" w:after="200"/>
      <w:contextualSpacing/>
    </w:pPr>
    <w:rPr/>
  </w:style>
  <w:style w:type="paragraph" w:styleId="ListNumber">
    <w:name w:val="List Number"/>
    <w:basedOn w:val="Normal"/>
    <w:uiPriority w:val="99"/>
    <w:unhideWhenUsed/>
    <w:qFormat/>
    <w:rsid w:val="00326f90"/>
    <w:pPr>
      <w:numPr>
        <w:ilvl w:val="0"/>
        <w:numId w:val="7"/>
      </w:numPr>
      <w:spacing w:before="0" w:after="200"/>
      <w:contextualSpacing/>
    </w:pPr>
    <w:rPr/>
  </w:style>
  <w:style w:type="paragraph" w:styleId="ListNumber2">
    <w:name w:val="List Number 2"/>
    <w:basedOn w:val="Normal"/>
    <w:uiPriority w:val="99"/>
    <w:unhideWhenUsed/>
    <w:qFormat/>
    <w:rsid w:val="0029639d"/>
    <w:pPr>
      <w:numPr>
        <w:ilvl w:val="0"/>
        <w:numId w:val="8"/>
      </w:numPr>
      <w:spacing w:before="0" w:after="200"/>
      <w:contextualSpacing/>
    </w:pPr>
    <w:rPr/>
  </w:style>
  <w:style w:type="paragraph" w:styleId="ListNumber3">
    <w:name w:val="List Number 3"/>
    <w:basedOn w:val="Normal"/>
    <w:uiPriority w:val="99"/>
    <w:unhideWhenUsed/>
    <w:qFormat/>
    <w:rsid w:val="0029639d"/>
    <w:pPr>
      <w:numPr>
        <w:ilvl w:val="0"/>
        <w:numId w:val="9"/>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ntents2">
    <w:name w:val="TOC 2"/>
    <w:basedOn w:val="Index"/>
    <w:pPr>
      <w:tabs>
        <w:tab w:val="clear" w:pos="720"/>
        <w:tab w:val="right" w:pos="12677" w:leader="dot"/>
      </w:tabs>
      <w:ind w:left="283" w:hanging="0"/>
    </w:pPr>
    <w:rPr/>
  </w:style>
  <w:style w:type="paragraph" w:styleId="Contents1">
    <w:name w:val="TOC 1"/>
    <w:basedOn w:val="Index"/>
    <w:pPr>
      <w:tabs>
        <w:tab w:val="clear" w:pos="720"/>
        <w:tab w:val="right" w:pos="12960" w:leader="dot"/>
      </w:tabs>
      <w:ind w:left="0" w:hanging="0"/>
    </w:pPr>
    <w:rPr/>
  </w:style>
  <w:style w:type="paragraph" w:styleId="TableContents">
    <w:name w:val="Table Contents"/>
    <w:basedOn w:val="Normal"/>
    <w:qFormat/>
    <w:pPr>
      <w:widowControl w:val="false"/>
      <w:suppressLineNumbers/>
    </w:pPr>
    <w:rPr/>
  </w:style>
  <w:style w:type="paragraph" w:styleId="Contents3">
    <w:name w:val="TOC 3"/>
    <w:basedOn w:val="Index"/>
    <w:pPr>
      <w:tabs>
        <w:tab w:val="clear" w:pos="720"/>
        <w:tab w:val="right" w:pos="8793" w:leader="dot"/>
      </w:tabs>
      <w:ind w:left="567" w:hanging="0"/>
    </w:pPr>
    <w:rPr/>
  </w:style>
  <w:style w:type="numbering" w:styleId="NoList" w:default="1">
    <w:name w:val="No List"/>
    <w:uiPriority w:val="99"/>
    <w:semiHidden/>
    <w:unhideWhenUsed/>
    <w:qFormat/>
  </w:style>
  <w:style w:type="numbering" w:styleId="Bullet">
    <w:name w:val="Bullet •"/>
    <w:qFormat/>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usbr.gov/uc/DocLibrary/Memos/20240326-EstablishmentInterimOperatingGuidanceGlenCanyonDamLowReservoirLevels-TechnicalDecisionMemo-508-TSC.pdf"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1.png"/><Relationship Id="rId7" Type="http://schemas.openxmlformats.org/officeDocument/2006/relationships/hyperlink" Target="https://www.varuna.io/LOTR/1922/crcompct.pdf" TargetMode="External"/><Relationship Id="rId8" Type="http://schemas.openxmlformats.org/officeDocument/2006/relationships/hyperlink" Target="https://arizonalawreview.org/schiffer-guenther/" TargetMode="External"/><Relationship Id="rId9" Type="http://schemas.openxmlformats.org/officeDocument/2006/relationships/hyperlink" Target="https://www.varuna.io/LOTR/2004/CWCB_November_Letters_to_Norton.pdf" TargetMode="External"/><Relationship Id="rId10" Type="http://schemas.openxmlformats.org/officeDocument/2006/relationships/hyperlink" Target="https://www.varuna.io/LOTR/1968/crbproj.pdf" TargetMode="External"/><Relationship Id="rId11" Type="http://schemas.openxmlformats.org/officeDocument/2006/relationships/hyperlink" Target="https://www.inkstain.net/wp-content/uploads/Tripwire-Paper-FINAL.pdf" TargetMode="External"/><Relationship Id="rId12" Type="http://schemas.openxmlformats.org/officeDocument/2006/relationships/hyperlink" Target="https://library.cap-az.com/documents/education/2018-Tintor.pdf" TargetMode="External"/><Relationship Id="rId13" Type="http://schemas.openxmlformats.org/officeDocument/2006/relationships/package" Target="embeddings/oleObject1.xlsx"/><Relationship Id="rId14" Type="http://schemas.openxmlformats.org/officeDocument/2006/relationships/image" Target="media/image4.emf"/><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TotalTime>
  <Application>LibreOffice/7.3.7.2$Linux_AARCH64 LibreOffice_project/30$Build-2</Application>
  <AppVersion>15.0000</AppVersion>
  <Pages>28</Pages>
  <Words>8159</Words>
  <Characters>42832</Characters>
  <CharactersWithSpaces>50843</CharactersWithSpaces>
  <Paragraphs>223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2026-02-20T06:26:41Z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