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Deterrence</w:t>
      </w:r>
    </w:p>
    <w:p>
      <w:pPr>
        <w:pStyle w:val="Normal"/>
        <w:jc w:val="center"/>
        <w:rPr/>
      </w:pPr>
      <w:r>
        <w:rPr>
          <w:b/>
          <w:sz w:val="48"/>
        </w:rPr>
        <w:t>Upper Basin</w:t>
      </w:r>
    </w:p>
    <w:p>
      <w:pPr>
        <w:pStyle w:val="Normal"/>
        <w:jc w:val="center"/>
        <w:rPr/>
      </w:pPr>
      <w:r>
        <w:rPr>
          <w:b/>
          <w:sz w:val="48"/>
        </w:rPr>
        <w:t>Colorado River Compact Crisis Strategy</w:t>
      </w:r>
    </w:p>
    <w:p>
      <w:pPr>
        <w:pStyle w:val="Normal"/>
        <w:jc w:val="center"/>
        <w:rPr/>
      </w:pPr>
      <w:r>
        <w:rPr>
          <w:b/>
          <w:sz w:val="40"/>
        </w:rPr>
        <w:t>in Four Parts</w:t>
      </w:r>
    </w:p>
    <w:p>
      <w:pPr>
        <w:pStyle w:val="Normal"/>
        <w:rPr/>
      </w:pPr>
      <w:r>
        <w:rPr/>
      </w:r>
    </w:p>
    <w:p>
      <w:pPr>
        <w:pStyle w:val="Normal"/>
        <w:rPr/>
      </w:pPr>
      <w:r>
        <w:rPr/>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 xml:space="preserve">Date: February </w:t>
      </w:r>
      <w:r>
        <w:rPr>
          <w:sz w:val="28"/>
        </w:rPr>
        <w:t>9</w:t>
      </w:r>
      <w:r>
        <w:rPr>
          <w:sz w:val="28"/>
        </w:rPr>
        <w:t>, 2026</w:t>
      </w:r>
    </w:p>
    <w:p>
      <w:pPr>
        <w:pStyle w:val="Normal"/>
        <w:jc w:val="center"/>
        <w:rPr/>
      </w:pPr>
      <w:r>
        <w:rPr>
          <w:sz w:val="28"/>
        </w:rPr>
        <w:t xml:space="preserve">Version </w:t>
      </w:r>
      <w:r>
        <w:rPr>
          <w:sz w:val="28"/>
        </w:rPr>
        <w:t xml:space="preserve"> 1.0</w:t>
      </w:r>
    </w:p>
    <w:p>
      <w:pPr>
        <w:pStyle w:val="Normal"/>
        <w:rPr/>
      </w:pPr>
      <w:r>
        <w:rPr/>
      </w:r>
    </w:p>
    <w:p>
      <w:pPr>
        <w:pStyle w:val="Normal"/>
        <w:rPr/>
      </w:pPr>
      <w:r>
        <w:rPr/>
      </w:r>
      <w:r>
        <w:br w:type="page"/>
      </w:r>
    </w:p>
    <w:p>
      <w:pPr>
        <w:pStyle w:val="Heading1"/>
        <w:rPr/>
      </w:pPr>
      <w:bookmarkStart w:id="0" w:name="__RefHeading___Toc15732_3941092844111"/>
      <w:bookmarkEnd w:id="0"/>
      <w:r>
        <w:rPr/>
        <w:t>Overview</w:t>
      </w:r>
    </w:p>
    <w:p>
      <w:pPr>
        <w:pStyle w:val="Normal"/>
        <w:spacing w:before="0" w:after="0"/>
        <w:rPr/>
      </w:pPr>
      <w:r>
        <w:rPr/>
        <w:t xml:space="preserve"> </w:t>
      </w:r>
      <w:r>
        <w:rPr/>
        <w:br/>
        <w:t xml:space="preserve">My goal here is to deter Central Arizona Project(CAP) from going down litigation road by clearly defining Upper Basin litigation strategies and to make them think twice </w:t>
      </w:r>
      <w:r>
        <w:rPr>
          <w:b/>
          <w:bCs/>
        </w:rPr>
        <w:t>right now</w:t>
      </w:r>
      <w:r>
        <w:rPr>
          <w:b w:val="false"/>
          <w:bCs w:val="false"/>
        </w:rPr>
        <w:t>, before the February 14 deadline. Numbers 2 and 3</w:t>
      </w:r>
      <w:r>
        <w:rPr/>
        <w:t xml:space="preserve"> should be close to actual Colorado and UCRC positions. Numbers 1 and 4 are </w:t>
      </w:r>
      <w:r>
        <w:rPr/>
        <w:t>not conventional wisdom, they are</w:t>
      </w:r>
      <w:r>
        <w:rPr/>
        <w:t xml:space="preserve"> novel </w:t>
      </w:r>
      <w:r>
        <w:rPr/>
        <w:t>strategies</w:t>
      </w:r>
      <w:r>
        <w:rPr/>
        <w:t>.  My hope is these will also make California, Nevada and Yuma think twice before they go down this dangerous road with CAP.</w:t>
      </w:r>
    </w:p>
    <w:p>
      <w:pPr>
        <w:pStyle w:val="Normal"/>
        <w:spacing w:before="0" w:after="0"/>
        <w:rPr/>
      </w:pPr>
      <w:r>
        <w:rPr/>
      </w:r>
    </w:p>
    <w:p>
      <w:pPr>
        <w:pStyle w:val="Normal"/>
        <w:spacing w:before="0" w:after="0"/>
        <w:rPr/>
      </w:pPr>
      <w:r>
        <w:rPr>
          <w:b/>
          <w:bCs/>
        </w:rPr>
        <w:t>Disclaimer: I am a knowledgeable citizen but I do not speak for Colorado or the UCRC. I am not a lawyer. I am concerned the current doom loop in negotiations will not end well for anyone.</w:t>
      </w:r>
      <w:r>
        <w:rPr/>
        <w:br/>
        <w:br/>
        <w:t xml:space="preserve">1. </w:t>
      </w:r>
      <w:r>
        <w:rPr>
          <w:b/>
          <w:bCs/>
        </w:rPr>
        <w:t>Run of the River(ROTR)</w:t>
      </w:r>
      <w:r>
        <w:rPr/>
        <w:t xml:space="preserve"> in Lake Powell </w:t>
      </w:r>
      <w:r>
        <w:rPr>
          <w:b/>
          <w:bCs/>
        </w:rPr>
        <w:t>when all else fails</w:t>
      </w:r>
      <w:r>
        <w:rPr/>
        <w:t xml:space="preserve">. Turbines will be OK. We are OK with reverting to Long-Range Operating Criteria(LROC) </w:t>
      </w:r>
      <w:r>
        <w:rPr/>
        <w:t>with</w:t>
      </w:r>
      <w:r>
        <w:rPr/>
        <w:t xml:space="preserve"> ROTR if there is no deal. Decoupling from Lower Basin will be wonderful bu</w:t>
      </w:r>
      <w:r>
        <w:rPr/>
        <w:t xml:space="preserve">t </w:t>
      </w:r>
      <w:r>
        <w:rPr/>
        <w:t xml:space="preserve">there will be litigation.  Lower Basin will get </w:t>
      </w:r>
      <w:r>
        <w:rPr>
          <w:b/>
          <w:bCs/>
        </w:rPr>
        <w:t>what the river provides</w:t>
      </w:r>
      <w:r>
        <w:rPr/>
        <w:t xml:space="preserve">, it will be a learning experience for them </w:t>
        <w:br/>
        <w:br/>
        <w:t xml:space="preserve">2. </w:t>
      </w:r>
      <w:r>
        <w:rPr>
          <w:b/>
          <w:bCs/>
        </w:rPr>
        <w:t>Article III(c)</w:t>
      </w:r>
      <w:r>
        <w:rPr/>
        <w:t xml:space="preserve"> – Upper Basin may contest the excessive Arizona interpretation of the Mexico obligation and curtailment based on an 8.25 maf 10 year moving average, a veiled threat, or statement of the obvious, by CAP’s Burman last week. This is the first tripwire which may be tripped by the end of this year or next.</w:t>
        <w:br/>
        <w:br/>
        <w:t xml:space="preserve">3. </w:t>
      </w:r>
      <w:r>
        <w:rPr>
          <w:b/>
          <w:bCs/>
        </w:rPr>
        <w:t>Article III(e)</w:t>
      </w:r>
      <w:r>
        <w:rPr/>
        <w:t xml:space="preserve"> - Upper Basin may contest the excessive Arizona interpretation which was the other basis of the threat used in 2007 to demand 9 MAF releases from Powell</w:t>
        <w:br/>
        <w:br/>
        <w:t xml:space="preserve">4. </w:t>
      </w:r>
      <w:r>
        <w:rPr>
          <w:b/>
          <w:bCs/>
        </w:rPr>
        <w:t>Section 603</w:t>
      </w:r>
      <w:r>
        <w:rPr/>
        <w:t xml:space="preserve"> - Upper Basin may invoke 603 because Arizona has been using the 2007 interim guidelines with “Sweet spot” gaming to crash Lake Powell and to push us into a compact call.</w:t>
      </w:r>
    </w:p>
    <w:p>
      <w:pPr>
        <w:pStyle w:val="Normal"/>
        <w:spacing w:before="0" w:after="0"/>
        <w:rPr/>
      </w:pPr>
      <w:r>
        <w:rPr/>
      </w:r>
    </w:p>
    <w:p>
      <w:pPr>
        <w:pStyle w:val="Normal"/>
        <w:rPr>
          <w:b/>
          <w:b/>
          <w:bCs/>
        </w:rPr>
      </w:pPr>
      <w:r>
        <w:rPr>
          <w:b/>
          <w:bCs/>
        </w:rPr>
        <w:t>Discussed:</w:t>
      </w:r>
    </w:p>
    <w:p>
      <w:pPr>
        <w:pStyle w:val="Normal"/>
        <w:rPr/>
      </w:pPr>
      <w:r>
        <w:rPr/>
        <w:t>1. Gila River Tributary accounting and Article III(b)</w:t>
      </w:r>
    </w:p>
    <w:p>
      <w:pPr>
        <w:pStyle w:val="Normal"/>
        <w:rPr>
          <w:b/>
          <w:b/>
          <w:bCs/>
        </w:rPr>
      </w:pPr>
      <w:r>
        <w:rPr>
          <w:b/>
          <w:bCs/>
        </w:rPr>
        <w:t>No Position Taken:</w:t>
      </w:r>
    </w:p>
    <w:p>
      <w:pPr>
        <w:pStyle w:val="Normal"/>
        <w:rPr/>
      </w:pPr>
      <w:r>
        <w:rPr/>
        <w:t>1. Article III(d) curtailment is not imminent, the Upper Basin argument is well known, I have nothing to add.</w:t>
      </w:r>
    </w:p>
    <w:p>
      <w:pPr>
        <w:pStyle w:val="Normal"/>
        <w:rPr/>
      </w:pPr>
      <w:r>
        <w:rPr/>
      </w:r>
      <w:r>
        <w:br w:type="page"/>
      </w:r>
    </w:p>
    <w:p>
      <w:pPr>
        <w:pStyle w:val="Heading2"/>
        <w:rPr/>
      </w:pPr>
      <w:r>
        <w:rPr/>
        <w:t>Run-of-the-River Operations at Glen Canyon Dam</w:t>
      </w:r>
    </w:p>
    <w:p>
      <w:pPr>
        <w:pStyle w:val="Normal"/>
        <w:spacing w:before="0" w:after="0"/>
        <w:rPr/>
      </w:pPr>
      <w:r>
        <w:rPr/>
      </w:r>
    </w:p>
    <w:p>
      <w:pPr>
        <w:pStyle w:val="Normal"/>
        <w:spacing w:before="0" w:after="0"/>
        <w:rPr/>
      </w:pPr>
      <w:r>
        <w:rPr>
          <w:b/>
          <w:bCs/>
        </w:rPr>
        <w:t xml:space="preserve">Objective </w:t>
      </w:r>
      <w:r>
        <w:rPr>
          <w:b/>
          <w:bCs/>
        </w:rPr>
        <w:t>1</w:t>
      </w:r>
      <w:r>
        <w:rPr/>
        <w:t xml:space="preserve">: </w:t>
      </w:r>
      <w:r>
        <w:rPr/>
        <w:t xml:space="preserve">Lake Powell had real value to the Upper Basin in the 80’s and 90’s when there were surplus inflows stored there.  Those days are over.  Rather than appreciating and cherishing that </w:t>
      </w:r>
      <w:r>
        <w:rPr/>
        <w:t>precious</w:t>
      </w:r>
      <w:r>
        <w:rPr/>
        <w:t xml:space="preserve"> reserve Arizona took it for granted. They used litigation threats and gaming to abuse it. Since 2007 it’s become a liability to the Upper Basin as </w:t>
      </w:r>
      <w:r>
        <w:rPr/>
        <w:t>the Lower Basin</w:t>
      </w:r>
      <w:r>
        <w:rPr/>
        <w:t xml:space="preserve"> drained it to mitigate a problem, the structural deficit, entirely of their making.  Since Lake Powell is now being used to squeeze the Upper Basin for water </w:t>
      </w:r>
      <w:r>
        <w:rPr/>
        <w:t>instead of</w:t>
      </w:r>
      <w:r>
        <w:rPr/>
        <w:t xml:space="preserve"> protect us it may be time to let it go.</w:t>
      </w:r>
    </w:p>
    <w:p>
      <w:pPr>
        <w:pStyle w:val="Normal"/>
        <w:spacing w:before="0" w:after="0"/>
        <w:rPr/>
      </w:pPr>
      <w:r>
        <w:rPr/>
      </w:r>
    </w:p>
    <w:p>
      <w:pPr>
        <w:pStyle w:val="Normal"/>
        <w:spacing w:before="0" w:after="0"/>
        <w:rPr/>
      </w:pPr>
      <w:r>
        <w:rPr>
          <w:b/>
          <w:bCs/>
        </w:rPr>
        <w:t>Objective 2</w:t>
      </w:r>
      <w:r>
        <w:rPr/>
        <w:t xml:space="preserve">: The 2007 Interim Guidelines are “Interim” for a reason.  When they were signed the Upper Basin knew they would fail, they wouldn’t fix anything.  They agreed to them only because threatened litigation was worse.  Despite the Bureau’s claims to the contrary, and in absence of a seven states compromise, I am relatively certain the only path forward is to revert to the Long Range Operating Criteria backed by Run of the River to protect the power head and turbines in Lake Powell, </w:t>
      </w:r>
      <w:r>
        <w:rPr/>
        <w:t>and this is OK.</w:t>
      </w:r>
      <w:r>
        <w:rPr/>
        <w:t xml:space="preserve"> The Bureau has no authority to impose an arbitrary </w:t>
      </w:r>
      <w:r>
        <w:rPr/>
        <w:t xml:space="preserve">new </w:t>
      </w:r>
      <w:r>
        <w:rPr/>
        <w:t>alternative on the seven states though they do have the authority to protect their infrastructure and endangered fish.</w:t>
      </w:r>
    </w:p>
    <w:p>
      <w:pPr>
        <w:pStyle w:val="Normal"/>
        <w:spacing w:before="0" w:after="0"/>
        <w:rPr/>
      </w:pPr>
      <w:r>
        <w:rPr/>
      </w:r>
    </w:p>
    <w:p>
      <w:pPr>
        <w:pStyle w:val="Normal"/>
        <w:spacing w:before="0" w:after="0"/>
        <w:rPr/>
      </w:pPr>
      <w:r>
        <w:rPr>
          <w:b/>
          <w:bCs/>
        </w:rPr>
        <w:t xml:space="preserve">Objective </w:t>
      </w:r>
      <w:r>
        <w:rPr>
          <w:b/>
          <w:bCs/>
        </w:rPr>
        <w:t>3: T</w:t>
      </w:r>
      <w:r>
        <w:rPr/>
        <w:t xml:space="preserve">o counter </w:t>
      </w:r>
      <w:r>
        <w:rPr/>
        <w:t>inflammatory rhetoric,</w:t>
      </w:r>
      <w:r>
        <w:rPr/>
        <w:t xml:space="preserve"> terms like “crashed river”, “dancing with dead pool” and “turbines will stop turning” being used to pressure and rush stakeholders, like </w:t>
      </w:r>
      <w:r>
        <w:rPr/>
        <w:t xml:space="preserve">those of us in </w:t>
      </w:r>
      <w:r>
        <w:rPr/>
        <w:t xml:space="preserve">Colorado, into accepting deep cuts in our Compact water use.  </w:t>
      </w:r>
      <w:r>
        <w:rPr/>
        <w:t>The river will instead be OK, not great, but OK.</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2">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rPr/>
      </w:pPr>
      <w:r>
        <w:rPr/>
      </w:r>
    </w:p>
    <w:p>
      <w:pPr>
        <w:pStyle w:val="Normal"/>
        <w:spacing w:before="0" w:after="0"/>
        <w:rPr/>
      </w:pPr>
      <w:r>
        <w:rPr/>
        <w:t xml:space="preserve">The Bureau already has authority, in fact an obligation, to protect their infrastructure </w:t>
      </w:r>
      <w:r>
        <w:rPr/>
        <w:t>and endangered fish</w:t>
      </w:r>
      <w:r>
        <w:rPr/>
        <w:t xml:space="preserve">. Therefor, before Lake Powell loses its power head the Bureau will set a power head elevation they are going to defend, possibly 3510’, Eric Kuhn uses 3500’. </w:t>
      </w:r>
    </w:p>
    <w:p>
      <w:pPr>
        <w:pStyle w:val="Normal"/>
        <w:spacing w:before="0" w:after="0"/>
        <w:rPr/>
      </w:pPr>
      <w:r>
        <w:rPr/>
        <w:br/>
        <w:t xml:space="preserve">Reservoir coordination with Lake Mead and releases called for in whatever guidelines are in force will end and the Bureau will switch to </w:t>
      </w:r>
      <w:r>
        <w:rPr/>
        <w:t>Run of the River(ROTR),</w:t>
      </w:r>
      <w:r>
        <w:rPr/>
        <w:t xml:space="preserve">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 xml:space="preserve">Glen Canyon </w:t>
      </w:r>
      <w:r>
        <w:rPr/>
        <w:t>will be</w:t>
      </w:r>
      <w:r>
        <w:rPr/>
        <w:t xml:space="preserve"> generating power and revenue though output will be limited by the low power head. This is good.</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t>In Glen Canyon, at low head, I think one turbine needs 1,600–2,300 cfs (per Reclamation estimates). This equates to roughly 1.2–1.7 MAF. Another common figure used is a conservative 2.3 MAF for one year’s operation.  As spring runoff winds down the Bureau must insure there will be enough water in the lake to reach the start of the next Spring runoff.</w:t>
      </w:r>
    </w:p>
    <w:p>
      <w:pPr>
        <w:pStyle w:val="Normal"/>
        <w:spacing w:before="0" w:after="0"/>
        <w:ind w:left="0" w:hanging="0"/>
        <w:rPr/>
      </w:pPr>
      <w:r>
        <w:rPr/>
      </w:r>
    </w:p>
    <w:p>
      <w:pPr>
        <w:pStyle w:val="Normal"/>
        <w:spacing w:before="0" w:after="0"/>
        <w:ind w:left="0" w:hanging="0"/>
        <w:rPr/>
      </w:pPr>
      <w:r>
        <w:rPr/>
        <w:t>They would hopefully be running 2 or 3 turbines, they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When Powell is in ROTR coordination will be significantly restricted and the two basins will be somewhat decoupled.  As long as the Lower Basin can’t use Lake Mead elevations to drawn down Lake Powell, there is nothing to draw, what the Bureau and the Lower Basin do regarding shortages and assigned water become</w:t>
      </w:r>
      <w:r>
        <w:rPr/>
        <w:t>s</w:t>
      </w:r>
      <w:r>
        <w:rPr/>
        <w:t xml:space="preserve"> irrelevant.  The alternatives being considered could also be decoupled </w:t>
      </w:r>
      <w:r>
        <w:rPr/>
        <w:t xml:space="preserve">in this scenario </w:t>
      </w:r>
      <w:r>
        <w:rPr/>
        <w:t xml:space="preserve">as a result. </w:t>
      </w:r>
    </w:p>
    <w:p>
      <w:pPr>
        <w:pStyle w:val="Normal"/>
        <w:spacing w:before="0" w:after="0"/>
        <w:ind w:left="0" w:hanging="0"/>
        <w:rPr/>
      </w:pPr>
      <w:r>
        <w:rPr/>
      </w:r>
    </w:p>
    <w:p>
      <w:pPr>
        <w:pStyle w:val="Normal"/>
        <w:spacing w:before="0" w:after="0"/>
        <w:ind w:left="0" w:hanging="0"/>
        <w:rPr/>
      </w:pPr>
      <w:r>
        <w:rPr/>
        <w:t xml:space="preserve">If snow pack improves you can easily revert to guideline releases.  </w:t>
      </w:r>
      <w:r>
        <w:rPr/>
        <w:t>Then the basins would recouple and coordination would matter again.</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rPr/>
      </w:pPr>
      <w:r>
        <w:rPr/>
      </w:r>
      <w:r>
        <w:br w:type="page"/>
      </w:r>
    </w:p>
    <w:p>
      <w:pPr>
        <w:pStyle w:val="Heading2"/>
        <w:spacing w:before="0" w:after="0"/>
        <w:rPr/>
      </w:pPr>
      <w:r>
        <w:rPr/>
        <w:t>Article III(c) Interpretation</w:t>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br/>
        <w:t>The issue is how you define surplus water to satisfy the Mexico obligation in normal times. If there is 9 maf available in a year 7.5 + 1.5 for Mexico there is no deficiency. Less than that there is, and both basins have to supply half of 1.5. Where does the LB half come from? Arizona documented there position in this paper in 2007:</w:t>
      </w:r>
    </w:p>
    <w:p>
      <w:pPr>
        <w:pStyle w:val="Normal"/>
        <w:spacing w:before="0" w:after="0"/>
        <w:rPr/>
      </w:pPr>
      <w:r>
        <w:rPr/>
      </w:r>
    </w:p>
    <w:p>
      <w:pPr>
        <w:pStyle w:val="Normal"/>
        <w:spacing w:before="0" w:after="0"/>
        <w:ind w:left="720" w:hanging="0"/>
        <w:rPr/>
      </w:pPr>
      <w:hyperlink r:id="rId3">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t xml:space="preserve">W. Patrick Schiffer, Herbert R. Guenther &amp; Thomas G. Carr </w:t>
      </w:r>
    </w:p>
    <w:p>
      <w:pPr>
        <w:pStyle w:val="Normal"/>
        <w:spacing w:before="0" w:after="0"/>
        <w:rPr/>
      </w:pPr>
      <w:r>
        <w:rPr/>
        <w:b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w:t>
        <w:br/>
        <w:t>So as long as there is extra water in Mead for III(c) does that mean there is no deficiency. If so 8.25 isn’t the basis for a call?</w:t>
      </w:r>
    </w:p>
    <w:p>
      <w:pPr>
        <w:pStyle w:val="Normal"/>
        <w:numPr>
          <w:ilvl w:val="0"/>
          <w:numId w:val="7"/>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7"/>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7"/>
        </w:numPr>
        <w:spacing w:before="0" w:after="0"/>
        <w:rPr/>
      </w:pPr>
      <w:r>
        <w:rPr/>
        <w:t>Mexico’s 1.5 MAF (per the 1944 Treaty) comes first from any system-wide surplus above that 7.5 MAF or 8.5 MAF.</w:t>
      </w:r>
    </w:p>
    <w:p>
      <w:pPr>
        <w:pStyle w:val="Normal"/>
        <w:numPr>
          <w:ilvl w:val="0"/>
          <w:numId w:val="7"/>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numPr>
          <w:ilvl w:val="0"/>
          <w:numId w:val="7"/>
        </w:numPr>
        <w:spacing w:before="0" w:after="0"/>
        <w:rPr/>
      </w:pPr>
      <w:r>
        <w:rPr/>
        <w:t>1.5 MAF is the default Mexico obligation. It is currently a little lower thanks to shortages Mexico is taking to help the system</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 xml:space="preserve">In wet years or equalization operations (like 2011 </w:t>
      </w:r>
      <w:r>
        <w:rPr/>
        <w:t xml:space="preserve">when </w:t>
      </w:r>
      <w:r>
        <w:rPr/>
        <w:t>the two reservoirs were deliberately rebalanced), extra water is released from Powell → through Lee’s Ferry → into Lake Mead. That water becomes stored surplus in Mead.</w:t>
      </w:r>
    </w:p>
    <w:p>
      <w:pPr>
        <w:pStyle w:val="Normal"/>
        <w:spacing w:before="0" w:after="0"/>
        <w:rPr/>
      </w:pPr>
      <w:r>
        <w:rPr/>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7"/>
        </w:numPr>
        <w:spacing w:before="0" w:after="0"/>
        <w:rPr/>
      </w:pPr>
      <w:r>
        <w:rPr/>
        <w:t>Surplus water for Mexico → can be (and is) supplied from Lake Mead storage that accumulated in big years.</w:t>
      </w:r>
    </w:p>
    <w:p>
      <w:pPr>
        <w:pStyle w:val="Normal"/>
        <w:numPr>
          <w:ilvl w:val="0"/>
          <w:numId w:val="7"/>
        </w:numPr>
        <w:spacing w:before="0" w:after="0"/>
        <w:rPr/>
      </w:pPr>
      <w:r>
        <w:rPr/>
        <w:t>Deficiency share → triggers Lee’s Ferry delivery obligation from the Upper Basin.</w:t>
      </w:r>
    </w:p>
    <w:p>
      <w:pPr>
        <w:pStyle w:val="Normal"/>
        <w:numPr>
          <w:ilvl w:val="0"/>
          <w:numId w:val="7"/>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p>
    <w:p>
      <w:pPr>
        <w:pStyle w:val="Normal"/>
        <w:spacing w:before="0" w:after="0"/>
        <w:rPr/>
      </w:pPr>
      <w:r>
        <w:rPr/>
      </w:r>
    </w:p>
    <w:p>
      <w:pPr>
        <w:pStyle w:val="Normal"/>
        <w:spacing w:before="0" w:after="0"/>
        <w:rPr>
          <w:b/>
          <w:b/>
          <w:bCs/>
        </w:rPr>
      </w:pPr>
      <w:r>
        <w:rPr>
          <w:b/>
          <w:bCs/>
        </w:rPr>
        <w:t>An Open Question</w:t>
      </w:r>
    </w:p>
    <w:p>
      <w:pPr>
        <w:pStyle w:val="Normal"/>
        <w:spacing w:before="0" w:after="0"/>
        <w:rPr/>
      </w:pPr>
      <w:r>
        <w:rPr>
          <w:b/>
          <w:bCs/>
        </w:rPr>
        <w:t xml:space="preserve">In event of an actual deficiency where does the Lower Basin’s half of the III(c) obligation come from?  </w:t>
      </w:r>
    </w:p>
    <w:p>
      <w:pPr>
        <w:pStyle w:val="Normal"/>
        <w:numPr>
          <w:ilvl w:val="0"/>
          <w:numId w:val="7"/>
        </w:numPr>
        <w:spacing w:before="0" w:after="0"/>
        <w:rPr>
          <w:b w:val="false"/>
          <w:b w:val="false"/>
          <w:bCs w:val="false"/>
        </w:rPr>
      </w:pPr>
      <w:r>
        <w:rPr>
          <w:b w:val="false"/>
          <w:bCs w:val="false"/>
        </w:rPr>
        <w:t>highly variable Grand Canyon tributaries which offsets Lake Mead evaporation,</w:t>
      </w:r>
    </w:p>
    <w:p>
      <w:pPr>
        <w:pStyle w:val="Normal"/>
        <w:numPr>
          <w:ilvl w:val="0"/>
          <w:numId w:val="7"/>
        </w:numPr>
        <w:spacing w:before="0" w:after="0"/>
        <w:rPr>
          <w:b w:val="false"/>
          <w:b w:val="false"/>
          <w:bCs w:val="false"/>
        </w:rPr>
      </w:pPr>
      <w:r>
        <w:rPr>
          <w:b w:val="false"/>
          <w:bCs w:val="false"/>
        </w:rPr>
        <w:t>the Lower Basin’s 7.5 MAF</w:t>
      </w:r>
    </w:p>
    <w:p>
      <w:pPr>
        <w:pStyle w:val="Normal"/>
        <w:numPr>
          <w:ilvl w:val="0"/>
          <w:numId w:val="7"/>
        </w:numPr>
        <w:spacing w:before="0" w:after="0"/>
        <w:rPr/>
      </w:pPr>
      <w:r>
        <w:rPr>
          <w:b w:val="false"/>
          <w:bCs w:val="false"/>
        </w:rPr>
        <w:t>Wellton Mohawk toxic return flows which would have to be taken from Cienega and be desalinated</w:t>
      </w:r>
      <w:r>
        <w:br w:type="page"/>
      </w:r>
    </w:p>
    <w:p>
      <w:pPr>
        <w:pStyle w:val="Heading2"/>
        <w:rPr/>
      </w:pPr>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7"/>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7"/>
        </w:numPr>
        <w:spacing w:before="0" w:after="0"/>
        <w:rPr/>
      </w:pPr>
      <w:r>
        <w:rPr/>
        <w:t xml:space="preserve">Simultaneously, it restrained the Upper Basin from indefinitely hoarding water that served no beneficial purpose and could be used downstream. </w:t>
      </w:r>
    </w:p>
    <w:p>
      <w:pPr>
        <w:pStyle w:val="Normal"/>
        <w:numPr>
          <w:ilvl w:val="0"/>
          <w:numId w:val="7"/>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7"/>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7"/>
        </w:numPr>
        <w:spacing w:before="0" w:after="0"/>
        <w:rPr/>
      </w:pPr>
      <w:r>
        <w:rPr/>
        <w:t xml:space="preserve">Long-Range Operating Criteria and post-2007 guidelines incorporate III(e) in a limited, conditional manner, consistent with its reciprocal nature. </w:t>
      </w:r>
    </w:p>
    <w:p>
      <w:pPr>
        <w:pStyle w:val="Normal"/>
        <w:numPr>
          <w:ilvl w:val="0"/>
          <w:numId w:val="7"/>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Guenther Schiffer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7"/>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7"/>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7"/>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4">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rPr/>
      </w:pPr>
      <w:r>
        <w:rPr/>
      </w:r>
    </w:p>
    <w:p>
      <w:pPr>
        <w:pStyle w:val="Normal"/>
        <w:rPr>
          <w:b/>
          <w:b/>
          <w:bCs/>
        </w:rPr>
      </w:pPr>
      <w:r>
        <w:rPr>
          <w:b/>
          <w:bCs/>
        </w:rPr>
        <w:t>It is a near certainty that Lower Basin, especially Arizona’s, taking delivery of water from reservoirs in the 90’s, and probably continuing today, for long term storage in its aquifers and contributing to the current crisis in Lake Powell is a direct and unambiguous violation of Article III(e).</w:t>
      </w:r>
      <w:r>
        <w:br w:type="page"/>
      </w:r>
    </w:p>
    <w:p>
      <w:pPr>
        <w:pStyle w:val="Heading2"/>
        <w:rPr/>
      </w:pPr>
      <w:r>
        <w:rPr/>
        <w:b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7"/>
        </w:numPr>
        <w:spacing w:before="0" w:after="0"/>
        <w:rPr/>
      </w:pPr>
      <w:r>
        <w:rPr/>
        <w:t>the 2007 Interim Guidelines’ treatment of Compact Article III(c)</w:t>
      </w:r>
    </w:p>
    <w:p>
      <w:pPr>
        <w:pStyle w:val="Normal"/>
        <w:numPr>
          <w:ilvl w:val="0"/>
          <w:numId w:val="7"/>
        </w:numPr>
        <w:spacing w:before="0" w:after="0"/>
        <w:rPr/>
      </w:pPr>
      <w:r>
        <w:rPr/>
        <w:t xml:space="preserve">CAP’s exploitation of the operational “sweet spot,” </w:t>
      </w:r>
    </w:p>
    <w:p>
      <w:pPr>
        <w:pStyle w:val="Normal"/>
        <w:numPr>
          <w:ilvl w:val="0"/>
          <w:numId w:val="7"/>
        </w:numPr>
        <w:spacing w:before="0" w:after="0"/>
        <w:rPr/>
      </w:pPr>
      <w:r>
        <w:rPr/>
        <w:t>the resulting 9 MAF Powell releases in 2015–2019</w:t>
      </w:r>
    </w:p>
    <w:p>
      <w:pPr>
        <w:pStyle w:val="Normal"/>
        <w:numPr>
          <w:ilvl w:val="0"/>
          <w:numId w:val="7"/>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ind w:left="720" w:hanging="0"/>
        <w:rPr/>
      </w:pPr>
      <w:r>
        <w:rPr/>
        <w:br/>
      </w:r>
      <w:hyperlink r:id="rId5">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6">
        <w:r>
          <w:rPr>
            <w:rStyle w:val="InternetLink"/>
          </w:rPr>
          <w:t>The 1922 Compact is Now the Obvious Elephant in the Negotiating Room</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7">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7"/>
        </w:numPr>
        <w:spacing w:before="0" w:after="0"/>
        <w:rPr/>
      </w:pPr>
      <w:r>
        <w:rPr/>
        <w:t xml:space="preserve">Lower Basin states could argue a Compact violation (“Compact call”). </w:t>
      </w:r>
    </w:p>
    <w:p>
      <w:pPr>
        <w:pStyle w:val="Normal"/>
        <w:numPr>
          <w:ilvl w:val="0"/>
          <w:numId w:val="7"/>
        </w:numPr>
        <w:spacing w:before="0" w:after="0"/>
        <w:rPr/>
      </w:pPr>
      <w:r>
        <w:rPr/>
        <w:t xml:space="preserve">• </w:t>
      </w:r>
      <w:r>
        <w:rPr/>
        <w:t xml:space="preserve">This would pressure Upper Basin states to curtail uses (post-Compact rights first) to restore deliveries. </w:t>
      </w:r>
    </w:p>
    <w:p>
      <w:pPr>
        <w:pStyle w:val="Normal"/>
        <w:numPr>
          <w:ilvl w:val="0"/>
          <w:numId w:val="7"/>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7"/>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7"/>
        </w:numPr>
        <w:spacing w:before="0" w:after="0"/>
        <w:rPr/>
      </w:pPr>
      <w:r>
        <w:rPr/>
        <w:t xml:space="preserve">Reclamation administers the dams under the CRBPA and prior acts; courts give deference to federal operational discretion. </w:t>
      </w:r>
    </w:p>
    <w:p>
      <w:pPr>
        <w:pStyle w:val="Normal"/>
        <w:numPr>
          <w:ilvl w:val="0"/>
          <w:numId w:val="7"/>
        </w:numPr>
        <w:spacing w:before="0" w:after="0"/>
        <w:rPr/>
      </w:pPr>
      <w:r>
        <w:rPr/>
        <w:t>No court has ever ruled on the exact III(c) delivery obligation or enforced the 82.5 MAF tripwire.</w:t>
      </w:r>
    </w:p>
    <w:p>
      <w:pPr>
        <w:pStyle w:val="Normal"/>
        <w:numPr>
          <w:ilvl w:val="0"/>
          <w:numId w:val="7"/>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rPr/>
      </w:pPr>
      <w:r>
        <w:rPr/>
      </w:r>
      <w:r>
        <w:br w:type="page"/>
      </w:r>
    </w:p>
    <w:p>
      <w:pPr>
        <w:pStyle w:val="Heading2"/>
        <w:rPr/>
      </w:pPr>
      <w:r>
        <w:rPr/>
        <w:t>Gila River</w:t>
      </w:r>
    </w:p>
    <w:p>
      <w:pPr>
        <w:pStyle w:val="Normal"/>
        <w:rPr>
          <w:b/>
          <w:b/>
          <w:bCs/>
        </w:rPr>
      </w:pPr>
      <w:r>
        <w:rPr>
          <w:b/>
          <w:bCs/>
        </w:rPr>
        <w:t>Objective: A subject for discussion, consideration should be given to resolving two long running disputes, Article III(b) and Gila Tributary use by Arizona.  The proposal would be to revert Article III(b) from surplus water for Arizona and California to Norviel’s original ask.  Article III(b) was supposed to cover 1 MAF of natural flow of the Gila at the confluence with the Colorado.  This would effectively remove both from the Compact and greatly simplify it, especially III(b)’s role in surplus water in the III(c) dispute.  The III(b) water simply isn’t there.  California needs to stay under 4.4 MAF limitation and should no longer use III(b).</w:t>
      </w:r>
    </w:p>
    <w:p>
      <w:pPr>
        <w:pStyle w:val="Normal"/>
        <w:spacing w:before="0" w:after="200"/>
        <w:rPr/>
      </w:pPr>
      <w:r>
        <w:rPr/>
        <w:t xml:space="preserve">The Colorado River Compact(1922) divides the river into Upper Basin (Colorado, New Mexico, Utah, Wyoming) and Lower Basin (Arizona, California, Nevada), apportioning 7.5 million acre-feet (maf) annually of beneficial consumptive use from the </w:t>
      </w:r>
      <w:r>
        <w:rPr>
          <w:b/>
          <w:bCs/>
        </w:rPr>
        <w:t>Colorado River System</w:t>
      </w:r>
      <w:r>
        <w:rPr/>
        <w:t xml:space="preserve"> to each basin. The compact defines the </w:t>
      </w:r>
      <w:r>
        <w:rPr>
          <w:b/>
          <w:bCs/>
        </w:rPr>
        <w:t xml:space="preserve">Colorado River System </w:t>
      </w:r>
      <w:r>
        <w:rPr/>
        <w:t xml:space="preserve">explicitly as the Colorado River mainstem </w:t>
      </w:r>
      <w:r>
        <w:rPr>
          <w:b/>
          <w:bCs/>
        </w:rPr>
        <w:t>and all its tributaries</w:t>
      </w:r>
      <w:r>
        <w:rPr/>
        <w:t>**.</w:t>
        <w:br/>
        <w:br/>
      </w:r>
      <w:r>
        <w:rPr>
          <w:b/>
          <w:bCs/>
        </w:rPr>
        <w:t>Upper Basin's Core Claim</w:t>
      </w:r>
      <w:r>
        <w:rPr/>
        <w:br/>
        <w:t>The Upper Basin argues that Arizona's consumptive uses from the **Gila River**—a major tributary that arises in New Mexico but flows primarily through Arizona in the Lower Basin—must count against Arizona's (and thus the Lower Basin's) 7.5 maf allocation. Their reasoning rests on the compact's plain text:</w:t>
        <w:br/>
        <w:br/>
        <w:t>- The allocation is from the entire "system" (mainstem + tributaries).</w:t>
        <w:br/>
        <w:t>- Any depletion in the Lower Basin from system waters, including Gila diversions for irrigation or other uses, consumes part of the Lower Basin's apportioned share.</w:t>
        <w:br/>
        <w:br/>
        <w:t>This interpretation aims to treat basins symmetrically: Upper Basin tributary uses (above Lee Ferry, the division point) reduce flow delivered downstream and count against the Upper Basin's share. Lower Basin tributary uses (below Lee Ferry, like the Gila) should similarly count against its share.</w:t>
        <w:br/>
        <w:br/>
      </w:r>
      <w:r>
        <w:rPr>
          <w:b/>
          <w:bCs/>
        </w:rPr>
        <w:t>Why Upper Basin Views This as Inequitable</w:t>
      </w:r>
      <w:r>
        <w:rPr/>
        <w:br/>
        <w:t xml:space="preserve">Without counting Gila uses, the Lower Basin effectively gets its full 7.5 maf from the mainstem (delivered at Lee Ferry) </w:t>
      </w:r>
      <w:r>
        <w:rPr>
          <w:b/>
          <w:bCs/>
        </w:rPr>
        <w:t>plus</w:t>
      </w:r>
      <w:r>
        <w:rPr/>
        <w:t xml:space="preserve"> essentially unlimited additional water from post-Lee Ferry tributaries (primarily the Gila for Arizona). This asymmetry means the Lower Basin can exceed the intended 7.5 maf system-wide use, while the Upper Basin bears full risk of hydrologic variability (e.g., drought reduces natural flow, forcing potential curtailments upstream to avoid "depleting" below compact levels).</w:t>
        <w:br/>
        <w:br/>
      </w:r>
      <w:r>
        <w:rPr>
          <w:b/>
          <w:bCs/>
        </w:rPr>
        <w:t>Counterpoint from the 1963 Supreme Court Ruling</w:t>
      </w:r>
      <w:r>
        <w:rPr/>
        <w:br/>
        <w:t xml:space="preserve">The U.S. Supreme Court in *Arizona v. California* (1963), interpreting the Boulder Canyon Project Act (1928) that operationalized the compact for the Lower Basin, ruled that the intrastate apportionments (AZ: 2.8 maf; CA: 4.4 maf; NV: 0.3 maf) apply </w:t>
      </w:r>
      <w:r>
        <w:rPr>
          <w:b/>
          <w:bCs/>
        </w:rPr>
        <w:t>only to mainstem water.</w:t>
      </w:r>
      <w:r>
        <w:rPr/>
        <w:t xml:space="preserve"> Tributary uses, including Arizona's Gila River diversions, are separate and not charged against those allocations. This decree governs Lower Basin mainstem deliveries by the U.S. Secretary of the Interior and has allowed Arizona historic Gila uses without reducing its mainstem entitlement.</w:t>
        <w:br/>
        <w:br/>
      </w:r>
      <w:r>
        <w:rPr>
          <w:b/>
          <w:bCs/>
        </w:rPr>
        <w:t>Ongoing Relevance</w:t>
      </w:r>
      <w:r>
        <w:rPr/>
        <w:br/>
        <w:t>The Upper Basin contends the 1963 decree addresses only mainstem apportionment among Lower states and does not override the compact's broader system-wide limit on Lower Basin uses. This argument serves as leverage in disputes, particularly to counter potential "compact calls" (Lower Basin demands for stricter Upper deliveries) or in post-2026 reservoir operations negotiations, where shortage-sharing remains contentious. As of early 2026, basin-wide talks reflect ongoing impasse over risk allocation, with this tributary accounting issue contributing to underlying tensions.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sbr.gov/uc/DocLibrary/Memos/20240326-EstablishmentInterimOperatingGuidanceGlenCanyonDamLowReservoirLevels-TechnicalDecisionMemo-508-TSC.pdf" TargetMode="External"/><Relationship Id="rId3" Type="http://schemas.openxmlformats.org/officeDocument/2006/relationships/hyperlink" Target="https://arizonalawreview.org/schiffer-guenther/" TargetMode="External"/><Relationship Id="rId4" Type="http://schemas.openxmlformats.org/officeDocument/2006/relationships/hyperlink" Target="https://www.varuna.io/LOTR/2004/CWCB_November_Letters_to_Norton.pdf" TargetMode="External"/><Relationship Id="rId5" Type="http://schemas.openxmlformats.org/officeDocument/2006/relationships/hyperlink" Target="https://www.varuna.io/LOTR/1968/crbproj.pdf" TargetMode="External"/><Relationship Id="rId6" Type="http://schemas.openxmlformats.org/officeDocument/2006/relationships/hyperlink" Target="https://www.inkstain.net/wp-content/uploads/Tripwire-Paper-FINAL.pdf" TargetMode="External"/><Relationship Id="rId7" Type="http://schemas.openxmlformats.org/officeDocument/2006/relationships/hyperlink" Target="https://library.cap-az.com/documents/education/2018-Tintor.pdf"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LibreOffice/7.3.7.2$Linux_AARCH64 LibreOffice_project/30$Build-2</Application>
  <AppVersion>15.0000</AppVersion>
  <Pages>15</Pages>
  <Words>4299</Words>
  <Characters>22792</Characters>
  <CharactersWithSpaces>27018</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2026-02-09T12:48:14Z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