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emf" ContentType="image/x-emf"/>
  <Override PartName="/word/embeddings/oleObject1.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Deterrence</w:t>
      </w:r>
    </w:p>
    <w:p>
      <w:pPr>
        <w:pStyle w:val="Normal"/>
        <w:jc w:val="center"/>
        <w:rPr/>
      </w:pPr>
      <w:r>
        <w:rPr>
          <w:b/>
          <w:sz w:val="48"/>
        </w:rPr>
        <w:t>Upper Basin</w:t>
      </w:r>
    </w:p>
    <w:p>
      <w:pPr>
        <w:pStyle w:val="Normal"/>
        <w:jc w:val="center"/>
        <w:rPr/>
      </w:pPr>
      <w:r>
        <w:rPr>
          <w:b/>
          <w:sz w:val="48"/>
        </w:rPr>
        <w:t>Colorado River Compact Crisis Strategy</w:t>
      </w:r>
    </w:p>
    <w:p>
      <w:pPr>
        <w:pStyle w:val="Normal"/>
        <w:jc w:val="center"/>
        <w:rPr>
          <w:b/>
          <w:b/>
          <w:sz w:val="40"/>
        </w:rPr>
      </w:pPr>
      <w:r>
        <w:rPr/>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 xml:space="preserve">Date: February </w:t>
      </w:r>
      <w:r>
        <w:rPr>
          <w:sz w:val="28"/>
        </w:rPr>
        <w:t>10</w:t>
      </w:r>
      <w:r>
        <w:rPr>
          <w:sz w:val="28"/>
        </w:rPr>
        <w:t>, 2026</w:t>
      </w:r>
    </w:p>
    <w:p>
      <w:pPr>
        <w:pStyle w:val="Normal"/>
        <w:jc w:val="center"/>
        <w:rPr/>
      </w:pPr>
      <w:r>
        <w:rPr>
          <w:sz w:val="28"/>
        </w:rPr>
        <w:t xml:space="preserve">Version </w:t>
      </w:r>
      <w:r>
        <w:rPr>
          <w:sz w:val="28"/>
        </w:rPr>
        <w:t xml:space="preserve"> 1.</w:t>
      </w:r>
      <w:r>
        <w:rPr>
          <w:sz w:val="28"/>
        </w:rPr>
        <w:t>2</w:t>
      </w:r>
    </w:p>
    <w:p>
      <w:pPr>
        <w:pStyle w:val="Normal"/>
        <w:jc w:val="center"/>
        <w:rPr>
          <w:sz w:val="22"/>
          <w:szCs w:val="22"/>
        </w:rPr>
      </w:pPr>
      <w:r>
        <w:rPr>
          <w:sz w:val="22"/>
          <w:szCs w:val="22"/>
        </w:rPr>
        <w:t>L</w:t>
      </w:r>
      <w:r>
        <w:rPr>
          <w:sz w:val="22"/>
          <w:szCs w:val="22"/>
        </w:rPr>
        <w:t>iving Document, Work in Progress, Don’t Sue Me, Join Me</w:t>
      </w:r>
    </w:p>
    <w:p>
      <w:pPr>
        <w:pStyle w:val="Normal"/>
        <w:jc w:val="center"/>
        <w:rPr>
          <w:sz w:val="28"/>
        </w:rPr>
      </w:pPr>
      <w:r>
        <w:rPr/>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r>
        <w:br w:type="page"/>
      </w:r>
    </w:p>
    <w:p>
      <w:pPr>
        <w:pStyle w:val="Heading1"/>
        <w:rPr/>
      </w:pPr>
      <w:bookmarkStart w:id="0" w:name="__RefHeading___Toc15732_3941092844111"/>
      <w:bookmarkEnd w:id="0"/>
      <w:r>
        <w:rPr/>
        <w:t>Overview</w:t>
      </w:r>
    </w:p>
    <w:p>
      <w:pPr>
        <w:pStyle w:val="Normal"/>
        <w:spacing w:before="0" w:after="0"/>
        <w:rPr/>
      </w:pPr>
      <w:r>
        <w:rPr/>
        <w:t xml:space="preserve"> </w:t>
      </w:r>
      <w:r>
        <w:rPr/>
        <w:br/>
        <w:t xml:space="preserve">My goal here is to deter Central Arizona Project(CAP) from going down litigation road by clearly defining Upper Basin litigation strategies and to make them think twice </w:t>
      </w:r>
      <w:r>
        <w:rPr>
          <w:b/>
          <w:bCs/>
        </w:rPr>
        <w:t>right now</w:t>
      </w:r>
      <w:r>
        <w:rPr>
          <w:b w:val="false"/>
          <w:bCs w:val="false"/>
        </w:rPr>
        <w:t>, before the February 14 deadline. Numbers 2 and 3</w:t>
      </w:r>
      <w:r>
        <w:rPr/>
        <w:t xml:space="preserve"> should be close to actual Colorado and UCRC positions. Numbers 1 and 4 are </w:t>
      </w:r>
      <w:r>
        <w:rPr/>
        <w:t>not conventional wisdom, they are</w:t>
      </w:r>
      <w:r>
        <w:rPr/>
        <w:t xml:space="preserve"> novel </w:t>
      </w:r>
      <w:r>
        <w:rPr/>
        <w:t>strategies</w:t>
      </w:r>
      <w:r>
        <w:rPr/>
        <w:t>.  My hope is these will also make California, Nevada and Yuma think twice before they go down this dangerous road with CAP.</w:t>
      </w:r>
    </w:p>
    <w:p>
      <w:pPr>
        <w:pStyle w:val="Normal"/>
        <w:spacing w:before="0" w:after="0"/>
        <w:rPr/>
      </w:pPr>
      <w:r>
        <w:rPr/>
      </w:r>
    </w:p>
    <w:p>
      <w:pPr>
        <w:pStyle w:val="Normal"/>
        <w:spacing w:before="0" w:after="0"/>
        <w:rPr/>
      </w:pPr>
      <w:r>
        <w:rPr>
          <w:b/>
          <w:bCs/>
        </w:rPr>
        <w:t>Disclaimer: I am a knowledgeable citizen but I do not speak for Colorado or the UCRC. I am not a lawyer. I am concerned the current doom loop in negotiations will not end well for anyone.</w:t>
      </w:r>
      <w:r>
        <w:rPr/>
        <w:br/>
        <w:br/>
        <w:t xml:space="preserve">1. </w:t>
      </w:r>
      <w:r>
        <w:rPr>
          <w:b/>
          <w:bCs/>
        </w:rPr>
        <w:t>Run of the River(ROTR)</w:t>
      </w:r>
      <w:r>
        <w:rPr/>
        <w:t xml:space="preserve"> in Lake Powell </w:t>
      </w:r>
      <w:r>
        <w:rPr>
          <w:b/>
          <w:bCs/>
        </w:rPr>
        <w:t>when all else fails</w:t>
      </w:r>
      <w:r>
        <w:rPr/>
        <w:t xml:space="preserve">. Turbines will be OK. We are OK with reverting to Long-Range Operating Criteria(LROC) </w:t>
      </w:r>
      <w:r>
        <w:rPr/>
        <w:t>with</w:t>
      </w:r>
      <w:r>
        <w:rPr/>
        <w:t xml:space="preserve"> ROTR if there is no deal. Decoupling from Lower Basin will be wonderful bu</w:t>
      </w:r>
      <w:r>
        <w:rPr/>
        <w:t xml:space="preserve">t </w:t>
      </w:r>
      <w:r>
        <w:rPr/>
        <w:t xml:space="preserve">there will be litigation.  Lower Basin will get </w:t>
      </w:r>
      <w:r>
        <w:rPr>
          <w:b/>
          <w:bCs/>
        </w:rPr>
        <w:t>what the river provides</w:t>
      </w:r>
      <w:r>
        <w:rPr/>
        <w:t xml:space="preserve">, it will be a learning experience for them </w:t>
        <w:br/>
        <w:br/>
        <w:t xml:space="preserve">2. </w:t>
      </w:r>
      <w:r>
        <w:rPr>
          <w:b/>
          <w:bCs/>
        </w:rPr>
        <w:t>Article III(c)</w:t>
      </w:r>
      <w:r>
        <w:rPr/>
        <w:t xml:space="preserve"> – Upper Basin may contest the excessive Arizona interpretation of the Mexico obligation and curtailment based on an 8.25 maf 10 year moving average, a veiled threat, or statement of the obvious, by CAP’s Burman last week. This is the first tripwire which may be tripped by the end of this year or next. </w:t>
      </w:r>
      <w:r>
        <w:rPr>
          <w:b/>
          <w:bCs/>
        </w:rPr>
        <w:t>(Removed pending problem resolution)</w:t>
      </w:r>
      <w:r>
        <w:rPr/>
        <w:br/>
        <w:br/>
        <w:t xml:space="preserve">3. </w:t>
      </w:r>
      <w:r>
        <w:rPr>
          <w:b/>
          <w:bCs/>
        </w:rPr>
        <w:t>Article III(e)</w:t>
      </w:r>
      <w:r>
        <w:rPr/>
        <w:t xml:space="preserve"> - Upper Basin may contest the excessive Arizona interpretation which was the other basis of the threat used in 2007 to demand 9 MAF releases from Powell</w:t>
        <w:br/>
        <w:br/>
        <w:t xml:space="preserve">4. </w:t>
      </w:r>
      <w:r>
        <w:rPr>
          <w:b/>
          <w:bCs/>
        </w:rPr>
        <w:t>Section 603</w:t>
      </w:r>
      <w:r>
        <w:rPr/>
        <w:t xml:space="preserve"> - Upper Basin may invoke 603 because Arizona has been using the 2007 interim guidelines with “Sweet spot” gaming to crash Lake Powell and to push us into a compact call.</w:t>
      </w:r>
    </w:p>
    <w:p>
      <w:pPr>
        <w:pStyle w:val="Normal"/>
        <w:spacing w:before="0" w:after="0"/>
        <w:rPr>
          <w:b/>
          <w:b/>
          <w:bCs/>
        </w:rPr>
      </w:pPr>
      <w:r>
        <w:rPr/>
      </w:r>
    </w:p>
    <w:p>
      <w:pPr>
        <w:pStyle w:val="Normal"/>
        <w:rPr>
          <w:b/>
          <w:b/>
          <w:bCs/>
        </w:rPr>
      </w:pPr>
      <w:r>
        <w:rPr>
          <w:b/>
          <w:bCs/>
        </w:rPr>
        <w:t>No Position Taken:</w:t>
      </w:r>
    </w:p>
    <w:p>
      <w:pPr>
        <w:pStyle w:val="Normal"/>
        <w:rPr/>
      </w:pPr>
      <w:r>
        <w:rPr/>
        <w:t xml:space="preserve">1. </w:t>
      </w:r>
      <w:r>
        <w:rPr>
          <w:b/>
          <w:bCs/>
        </w:rPr>
        <w:t>Article III(d)</w:t>
      </w:r>
      <w:r>
        <w:rPr/>
        <w:t xml:space="preserve"> curtailment is not imminent, the Upper Basin argument is well known, I have nothing to add.</w:t>
      </w:r>
    </w:p>
    <w:p>
      <w:pPr>
        <w:pStyle w:val="Normal"/>
        <w:rPr/>
      </w:pPr>
      <w:r>
        <w:rPr/>
      </w:r>
      <w:r>
        <w:br w:type="page"/>
      </w:r>
    </w:p>
    <w:p>
      <w:pPr>
        <w:pStyle w:val="Heading2"/>
        <w:rPr/>
      </w:pPr>
      <w:r>
        <w:rPr/>
        <w:t>Run-of-the-River Operations at Glen Canyon Dam</w:t>
      </w:r>
    </w:p>
    <w:p>
      <w:pPr>
        <w:pStyle w:val="Normal"/>
        <w:spacing w:before="0" w:after="0"/>
        <w:rPr/>
      </w:pPr>
      <w:r>
        <w:rPr/>
      </w:r>
    </w:p>
    <w:p>
      <w:pPr>
        <w:pStyle w:val="Normal"/>
        <w:spacing w:before="0" w:after="0"/>
        <w:rPr/>
      </w:pPr>
      <w:r>
        <w:rPr>
          <w:b/>
          <w:bCs/>
        </w:rPr>
        <w:t xml:space="preserve">Objective </w:t>
      </w:r>
      <w:r>
        <w:rPr>
          <w:b/>
          <w:bCs/>
        </w:rPr>
        <w:t>1</w:t>
      </w:r>
      <w:r>
        <w:rPr/>
        <w:t xml:space="preserve">: </w:t>
      </w:r>
      <w:r>
        <w:rPr/>
        <w:t xml:space="preserve">Lake Powell had real value to the Upper Basin in the 80’s and 90’s when there were surplus inflows stored there.  Those days are over.  Rather than appreciating and cherishing that </w:t>
      </w:r>
      <w:r>
        <w:rPr/>
        <w:t>precious</w:t>
      </w:r>
      <w:r>
        <w:rPr/>
        <w:t xml:space="preserve"> reserve Arizona took it for granted. They used litigation threats and gaming to abuse it. Since 2007 it’s become a liability to the Upper Basin as </w:t>
      </w:r>
      <w:r>
        <w:rPr/>
        <w:t>the Lower Basin</w:t>
      </w:r>
      <w:r>
        <w:rPr/>
        <w:t xml:space="preserve"> drained it to mitigate a problem, the structural deficit, entirely of their making.  Since Lake Powell is now being used to squeeze the Upper Basin for water </w:t>
      </w:r>
      <w:r>
        <w:rPr/>
        <w:t>instead of</w:t>
      </w:r>
      <w:r>
        <w:rPr/>
        <w:t xml:space="preserve"> protect us it may be time to let it go.</w:t>
      </w:r>
    </w:p>
    <w:p>
      <w:pPr>
        <w:pStyle w:val="Normal"/>
        <w:spacing w:before="0" w:after="0"/>
        <w:rPr/>
      </w:pPr>
      <w:r>
        <w:rPr/>
      </w:r>
    </w:p>
    <w:p>
      <w:pPr>
        <w:pStyle w:val="Normal"/>
        <w:spacing w:before="0" w:after="0"/>
        <w:rPr/>
      </w:pPr>
      <w:r>
        <w:rPr>
          <w:b/>
          <w:bCs/>
        </w:rPr>
        <w:t>Objective 2</w:t>
      </w:r>
      <w:r>
        <w:rPr/>
        <w:t xml:space="preserve">: The 2007 Interim Guidelines are “Interim” for a reason.  When they were signed the Upper Basin knew they would fail, they wouldn’t fix anything.  They agreed to them only because threatened litigation was worse.  Despite the Bureau’s claims to the contrary, and in absence of a seven states compromise, I am relatively certain the only path forward is to revert to the Long Range Operating Criteria backed by Run of the River to protect the power head and turbines in Lake Powell, </w:t>
      </w:r>
      <w:r>
        <w:rPr/>
        <w:t>and this is OK.</w:t>
      </w:r>
      <w:r>
        <w:rPr/>
        <w:t xml:space="preserve"> The Bureau has no authority to impose an arbitrary </w:t>
      </w:r>
      <w:r>
        <w:rPr/>
        <w:t xml:space="preserve">new </w:t>
      </w:r>
      <w:r>
        <w:rPr/>
        <w:t>alternative on the seven states though they do have the authority to protect their infrastructure and endangered fish.</w:t>
      </w:r>
    </w:p>
    <w:p>
      <w:pPr>
        <w:pStyle w:val="Normal"/>
        <w:spacing w:before="0" w:after="0"/>
        <w:rPr/>
      </w:pPr>
      <w:r>
        <w:rPr/>
      </w:r>
    </w:p>
    <w:p>
      <w:pPr>
        <w:pStyle w:val="Normal"/>
        <w:spacing w:before="0" w:after="0"/>
        <w:rPr/>
      </w:pPr>
      <w:r>
        <w:rPr>
          <w:b/>
          <w:bCs/>
        </w:rPr>
        <w:t xml:space="preserve">Objective </w:t>
      </w:r>
      <w:r>
        <w:rPr>
          <w:b/>
          <w:bCs/>
        </w:rPr>
        <w:t>3:</w:t>
      </w:r>
      <w:r>
        <w:rPr>
          <w:b w:val="false"/>
          <w:bCs w:val="false"/>
        </w:rPr>
        <w:t xml:space="preserve"> T</w:t>
      </w:r>
      <w:r>
        <w:rPr/>
        <w:t xml:space="preserve">o counter </w:t>
      </w:r>
      <w:r>
        <w:rPr/>
        <w:t>inflammatory rhetoric,</w:t>
      </w:r>
      <w:r>
        <w:rPr/>
        <w:t xml:space="preserve"> terms like “crashed river”, “dancing with dead pool” and “turbines will stop turning” being used to pressure and rush stakeholders, like </w:t>
      </w:r>
      <w:r>
        <w:rPr/>
        <w:t xml:space="preserve">those of us in </w:t>
      </w:r>
      <w:r>
        <w:rPr/>
        <w:t xml:space="preserve">Colorado, into accepting deep cuts in our Compact water use.  </w:t>
      </w:r>
      <w:r>
        <w:rPr/>
        <w:t>The river will instead be OK, not great, but OK.</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3">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rPr/>
      </w:pPr>
      <w:r>
        <w:rPr/>
      </w:r>
    </w:p>
    <w:p>
      <w:pPr>
        <w:pStyle w:val="Normal"/>
        <w:spacing w:before="0" w:after="0"/>
        <w:rPr/>
      </w:pPr>
      <w:r>
        <w:rPr/>
        <w:t xml:space="preserve">The Bureau already has authority, in fact an obligation, to protect their infrastructure </w:t>
      </w:r>
      <w:r>
        <w:rPr/>
        <w:t>and endangered fish</w:t>
      </w:r>
      <w:r>
        <w:rPr/>
        <w:t xml:space="preserve">. Therefor, before Lake Powell loses its power head the Bureau will set a power head elevation they are going to defend, possibly 3510’, Eric Kuhn uses 3500’. </w:t>
      </w:r>
    </w:p>
    <w:p>
      <w:pPr>
        <w:pStyle w:val="Normal"/>
        <w:spacing w:before="0" w:after="0"/>
        <w:rPr/>
      </w:pPr>
      <w:r>
        <w:rPr/>
        <w:br/>
        <w:t xml:space="preserve">Reservoir coordination with Lake Mead and releases called for in whatever guidelines are in force will end and the Bureau will switch to </w:t>
      </w:r>
      <w:r>
        <w:rPr/>
        <w:t>Run of the River(ROTR),</w:t>
      </w:r>
      <w:r>
        <w:rPr/>
        <w:t xml:space="preserve">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 xml:space="preserve">Glen Canyon </w:t>
      </w:r>
      <w:r>
        <w:rPr/>
        <w:t>will be</w:t>
      </w:r>
      <w:r>
        <w:rPr/>
        <w:t xml:space="preserve"> generating power and revenue though output will be limited by the low power head. This is good.</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t>In Glen Canyon, at low head, I think one turbine needs 1,600–2,300 cfs (per Reclamation estimates). This equates to roughly 1.2–1.7 MAF. Another common figure used is a conservative 2.3 MAF for one year’s operation.  As spring runoff winds down the Bureau must insure there will be enough water in the lake to reach the start of the next Spring runoff.</w:t>
      </w:r>
    </w:p>
    <w:p>
      <w:pPr>
        <w:pStyle w:val="Normal"/>
        <w:spacing w:before="0" w:after="0"/>
        <w:ind w:left="0" w:hanging="0"/>
        <w:rPr/>
      </w:pPr>
      <w:r>
        <w:rPr/>
      </w:r>
    </w:p>
    <w:p>
      <w:pPr>
        <w:pStyle w:val="Normal"/>
        <w:spacing w:before="0" w:after="0"/>
        <w:ind w:left="0" w:hanging="0"/>
        <w:rPr/>
      </w:pPr>
      <w:r>
        <w:rPr/>
        <w:t>They would hopefully be running 2 or 3 turbines, they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When Powell is in ROTR coordination will be significantly restricted and the two basins will be somewhat decoupled.  As long as the Lower Basin can’t use Lake Mead elevations to drawn down Lake Powell, there is nothing to draw, what the Bureau and the Lower Basin do regarding shortages and assigned water become</w:t>
      </w:r>
      <w:r>
        <w:rPr/>
        <w:t>s</w:t>
      </w:r>
      <w:r>
        <w:rPr/>
        <w:t xml:space="preserve"> irrelevant.  The alternatives being considered could also be decoupled </w:t>
      </w:r>
      <w:r>
        <w:rPr/>
        <w:t xml:space="preserve">in this scenario </w:t>
      </w:r>
      <w:r>
        <w:rPr/>
        <w:t xml:space="preserve">as a result. </w:t>
      </w:r>
    </w:p>
    <w:p>
      <w:pPr>
        <w:pStyle w:val="Normal"/>
        <w:spacing w:before="0" w:after="0"/>
        <w:ind w:left="0" w:hanging="0"/>
        <w:rPr/>
      </w:pPr>
      <w:r>
        <w:rPr/>
      </w:r>
    </w:p>
    <w:p>
      <w:pPr>
        <w:pStyle w:val="Normal"/>
        <w:spacing w:before="0" w:after="0"/>
        <w:ind w:left="0" w:hanging="0"/>
        <w:rPr/>
      </w:pPr>
      <w:r>
        <w:rPr/>
        <w:t xml:space="preserve">If snow pack improves you can easily revert to guideline releases.  </w:t>
      </w:r>
      <w:r>
        <w:rPr/>
        <w:t>Then the basins would recouple and coordination would matter again.</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spacing w:before="0" w:after="0"/>
        <w:ind w:left="0" w:hanging="0"/>
        <w:rPr/>
      </w:pPr>
      <w:r>
        <w:rPr/>
      </w:r>
    </w:p>
    <w:p>
      <w:pPr>
        <w:pStyle w:val="Normal"/>
        <w:spacing w:before="0" w:after="0"/>
        <w:ind w:left="0" w:hanging="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559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943600" cy="3155950"/>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3070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943600" cy="3307080"/>
                    </a:xfrm>
                    <a:prstGeom prst="rect">
                      <a:avLst/>
                    </a:prstGeom>
                  </pic:spPr>
                </pic:pic>
              </a:graphicData>
            </a:graphic>
          </wp:anchor>
        </w:drawing>
      </w:r>
      <w:r>
        <w:br w:type="page"/>
      </w:r>
    </w:p>
    <w:p>
      <w:pPr>
        <w:pStyle w:val="Heading2"/>
        <w:spacing w:before="0" w:after="0"/>
        <w:rPr/>
      </w:pPr>
      <w:r>
        <w:rPr/>
        <w:t>Article III(c) Interpretation</w:t>
      </w:r>
    </w:p>
    <w:p>
      <w:pPr>
        <w:pStyle w:val="Normal"/>
        <w:spacing w:before="0" w:after="0"/>
        <w:rPr>
          <w:b w:val="false"/>
          <w:b w:val="false"/>
          <w:bCs w:val="false"/>
        </w:rPr>
      </w:pPr>
      <w:r>
        <w:rPr/>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r>
    </w:p>
    <w:p>
      <w:pPr>
        <w:pStyle w:val="Normal"/>
        <w:spacing w:before="0" w:after="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6862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5943600" cy="2968625"/>
                    </a:xfrm>
                    <a:prstGeom prst="rect">
                      <a:avLst/>
                    </a:prstGeom>
                  </pic:spPr>
                </pic:pic>
              </a:graphicData>
            </a:graphic>
          </wp:anchor>
        </w:drawing>
      </w:r>
    </w:p>
    <w:p>
      <w:pPr>
        <w:pStyle w:val="Heading3"/>
        <w:spacing w:before="0" w:after="0"/>
        <w:rPr/>
      </w:pPr>
      <w:r>
        <w:rPr/>
        <w:t xml:space="preserve">Background – </w:t>
      </w:r>
      <w:r>
        <w:rPr/>
        <w:t>This is Complicated, Sorry</w:t>
      </w:r>
    </w:p>
    <w:p>
      <w:pPr>
        <w:pStyle w:val="Normal"/>
        <w:spacing w:before="0" w:after="0"/>
        <w:rPr/>
      </w:pPr>
      <w:r>
        <w:rPr/>
        <w:t>Th</w:t>
      </w:r>
      <w:r>
        <w:rPr/>
        <w:t>ere</w:t>
      </w:r>
      <w:r>
        <w:rPr/>
        <w:t xml:space="preserve"> is problematic language in the </w:t>
      </w:r>
      <w:hyperlink r:id="rId7">
        <w:r>
          <w:rPr>
            <w:rStyle w:val="InternetLink"/>
          </w:rPr>
          <w:t>1922 Colorado River Compact</w:t>
        </w:r>
      </w:hyperlink>
    </w:p>
    <w:p>
      <w:pPr>
        <w:pStyle w:val="Normal"/>
        <w:spacing w:before="0" w:after="0"/>
        <w:rPr/>
      </w:pPr>
      <w:r>
        <w:rPr/>
      </w:r>
    </w:p>
    <w:p>
      <w:pPr>
        <w:pStyle w:val="Normal"/>
        <w:spacing w:before="0" w:after="0"/>
        <w:ind w:left="720" w:hanging="0"/>
        <w:rPr>
          <w:i/>
          <w:i/>
          <w:iCs/>
        </w:rPr>
      </w:pPr>
      <w:r>
        <w:rPr>
          <w:i/>
          <w:iCs/>
        </w:rPr>
        <w:t xml:space="preserve">(c) If, as a matter of international comity, the United States of America shall hereafter recognize in the United States of Mexico any right to the use of any waters of the Colorado River System, such waters shall be supplied first from the waters which are </w:t>
      </w:r>
      <w:r>
        <w:rPr>
          <w:b/>
          <w:bCs/>
          <w:i/>
          <w:iCs/>
        </w:rPr>
        <w:t>surplus over and above the aggregate of the quantities specified in paragraphs (a) and (b);</w:t>
      </w:r>
      <w:r>
        <w:rPr>
          <w:i/>
          <w:iCs/>
        </w:rPr>
        <w:t xml:space="preserve"> and if such surplus shall prove insufficient for this purpose, then, </w:t>
      </w:r>
      <w:r>
        <w:rPr>
          <w:b/>
          <w:bCs/>
          <w:i/>
          <w:iCs/>
        </w:rPr>
        <w:t>the burden of such deficiency shall be equally borne by the Upper Basin and the Lower Basin</w:t>
      </w:r>
      <w:r>
        <w:rPr>
          <w:i/>
          <w:iCs/>
        </w:rPr>
        <w:t xml:space="preserve">, and whenever necessary the </w:t>
      </w:r>
      <w:r>
        <w:rPr>
          <w:b/>
          <w:bCs/>
          <w:i/>
          <w:iCs/>
        </w:rPr>
        <w:t>States of the Upper Division shall deliver at Lee Ferry water to supply one-half of the deficiency so recognized in addition to that provided in paragraph (d)</w:t>
      </w:r>
      <w:r>
        <w:rPr>
          <w:i/>
          <w:iCs/>
        </w:rPr>
        <w:t>.</w:t>
      </w:r>
    </w:p>
    <w:p>
      <w:pPr>
        <w:pStyle w:val="Normal"/>
        <w:spacing w:before="0" w:after="0"/>
        <w:rPr>
          <w:i/>
          <w:i/>
          <w:iCs/>
        </w:rPr>
      </w:pPr>
      <w:r>
        <w:rPr>
          <w:i/>
          <w:iCs/>
        </w:rPr>
      </w:r>
    </w:p>
    <w:p>
      <w:pPr>
        <w:pStyle w:val="Normal"/>
        <w:spacing w:before="0" w:after="0"/>
        <w:rPr>
          <w:i w:val="false"/>
          <w:i w:val="false"/>
          <w:iCs w:val="false"/>
        </w:rPr>
      </w:pPr>
      <w:r>
        <w:rPr>
          <w:i w:val="false"/>
          <w:iCs w:val="false"/>
        </w:rPr>
        <w:t xml:space="preserve">The first problem is how do you determine whether the Colorado is in surplus or deficit.  The probable interpretation by the people who wrote this thing, who thought they had a really big river is.  </w:t>
      </w:r>
      <w:r>
        <w:rPr>
          <w:b/>
          <w:bCs/>
          <w:i w:val="false"/>
          <w:iCs w:val="false"/>
        </w:rPr>
        <w:t>They were thinking of natural flow at the border so surplus water above the full entitlements for the Upper and Lower Basins would be what actually flowed to Mexico</w:t>
      </w:r>
      <w:r>
        <w:rPr>
          <w:b/>
          <w:bCs/>
          <w:i w:val="false"/>
          <w:iCs w:val="false"/>
        </w:rPr>
        <w:t>:</w:t>
      </w:r>
    </w:p>
    <w:p>
      <w:pPr>
        <w:pStyle w:val="Normal"/>
        <w:spacing w:before="0" w:after="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16 MAF = 7.5 Lower Basin(A) + 1.0 Lower Basin(B) + 7.5 Upper Basin(A)</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 xml:space="preserve">If this interpretation is correct we are ALWAYS in a deficit </w:t>
      </w:r>
      <w:r>
        <w:rPr>
          <w:i w:val="false"/>
          <w:iCs w:val="false"/>
        </w:rPr>
        <w:t xml:space="preserve">because this only works on a fully utilized river much bigger than it actually is. Its a little nuts, </w:t>
      </w:r>
      <w:r>
        <w:rPr>
          <w:i w:val="false"/>
          <w:iCs w:val="false"/>
        </w:rPr>
        <w:t xml:space="preserve">so go to </w:t>
      </w:r>
      <w:r>
        <w:rPr>
          <w:b/>
          <w:bCs/>
          <w:i w:val="false"/>
          <w:iCs w:val="false"/>
        </w:rPr>
        <w:t>Scenario 1.</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 xml:space="preserve">Another interpretation is that they are talking about actual consumptive use. The Upper Basin doesn’t use its full entitlement and the Lower Basin is currently not using III(b) </w:t>
      </w:r>
      <w:r>
        <w:rPr>
          <w:i w:val="false"/>
          <w:iCs w:val="false"/>
        </w:rPr>
        <w:t xml:space="preserve">so </w:t>
      </w:r>
      <w:r>
        <w:rPr>
          <w:i w:val="false"/>
          <w:iCs w:val="false"/>
        </w:rPr>
        <w:t>this less nuts but also not what was intended but</w:t>
      </w:r>
      <w:r>
        <w:rPr>
          <w:i w:val="false"/>
          <w:iCs w:val="false"/>
        </w:rPr>
        <w:t xml:space="preserve"> go to </w:t>
      </w:r>
      <w:r>
        <w:rPr>
          <w:b/>
          <w:bCs/>
          <w:i w:val="false"/>
          <w:iCs w:val="false"/>
        </w:rPr>
        <w:t>Scenario 2</w:t>
      </w:r>
      <w:r>
        <w:rPr>
          <w:i w:val="false"/>
          <w:iCs w:val="false"/>
        </w:rPr>
        <w:t>:</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12 MAF = 7.5 Lower Basin(A) + 4.5 Upper Basin(A)</w:t>
      </w:r>
    </w:p>
    <w:p>
      <w:pPr>
        <w:pStyle w:val="Normal"/>
        <w:spacing w:before="0" w:after="0"/>
        <w:ind w:left="72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 xml:space="preserve">Another interpretation is that if the Lower Basin is overusing its entitlement due to the structural deficit then there must be a surplus. See </w:t>
      </w:r>
      <w:r>
        <w:rPr>
          <w:i w:val="false"/>
          <w:iCs w:val="false"/>
        </w:rPr>
        <w:t>S</w:t>
      </w:r>
      <w:r>
        <w:rPr>
          <w:b/>
          <w:bCs/>
          <w:i w:val="false"/>
          <w:iCs w:val="false"/>
        </w:rPr>
        <w:t>cenario 3</w:t>
      </w:r>
      <w:r>
        <w:rPr>
          <w:i w:val="false"/>
          <w:iCs w:val="false"/>
        </w:rPr>
        <w:t>.</w:t>
      </w:r>
    </w:p>
    <w:p>
      <w:pPr>
        <w:pStyle w:val="Normal"/>
        <w:spacing w:before="0" w:after="0"/>
        <w:ind w:left="0" w:hanging="0"/>
        <w:rPr>
          <w:i w:val="false"/>
          <w:i w:val="false"/>
          <w:iCs w:val="false"/>
        </w:rPr>
      </w:pPr>
      <w:r>
        <w:rPr>
          <w:i w:val="false"/>
          <w:iCs w:val="false"/>
        </w:rPr>
      </w:r>
    </w:p>
    <w:p>
      <w:pPr>
        <w:pStyle w:val="Normal"/>
        <w:spacing w:before="0" w:after="0"/>
        <w:rPr/>
      </w:pPr>
      <w:r>
        <w:rPr>
          <w:b w:val="false"/>
          <w:bCs w:val="false"/>
        </w:rPr>
        <w:t>If we are in deficit then:</w:t>
      </w:r>
    </w:p>
    <w:p>
      <w:pPr>
        <w:pStyle w:val="Normal"/>
        <w:spacing w:before="0" w:after="0"/>
        <w:ind w:left="720" w:hanging="0"/>
        <w:rPr>
          <w:i/>
          <w:i/>
          <w:iCs/>
        </w:rPr>
      </w:pPr>
      <w:r>
        <w:rPr>
          <w:b/>
          <w:bCs/>
          <w:i/>
          <w:iCs/>
        </w:rPr>
        <w:t>the burden of such deficiency shall be equally borne by the Upper Basin and the Lower Basin</w:t>
      </w:r>
    </w:p>
    <w:p>
      <w:pPr>
        <w:pStyle w:val="Normal"/>
        <w:spacing w:before="0" w:after="0"/>
        <w:ind w:hanging="0"/>
        <w:rPr>
          <w:b w:val="false"/>
          <w:b w:val="false"/>
          <w:bCs w:val="false"/>
          <w:i/>
          <w:i/>
          <w:iCs/>
        </w:rPr>
      </w:pPr>
      <w:r>
        <w:rPr>
          <w:b w:val="false"/>
          <w:bCs w:val="false"/>
          <w:i/>
          <w:iCs/>
        </w:rPr>
        <w:t>and:</w:t>
      </w:r>
    </w:p>
    <w:p>
      <w:pPr>
        <w:pStyle w:val="Normal"/>
        <w:spacing w:before="0" w:after="0"/>
        <w:ind w:left="720" w:hanging="0"/>
        <w:rPr>
          <w:b w:val="false"/>
          <w:b w:val="false"/>
          <w:bCs w:val="false"/>
          <w:i/>
          <w:i/>
          <w:iCs/>
        </w:rPr>
      </w:pPr>
      <w:r>
        <w:rPr>
          <w:b/>
          <w:bCs/>
          <w:i/>
          <w:iCs/>
        </w:rPr>
        <w:t>the Upper Division shall deliver at Lee Ferry water to supply one-half of the deficiency so recognized in addition to that provided in paragraph (d)</w:t>
      </w:r>
      <w:r>
        <w:rPr>
          <w:b w:val="false"/>
          <w:bCs w:val="false"/>
          <w:i/>
          <w:iCs/>
        </w:rPr>
        <w:t>.</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This is the basis for the 8.25 compact call, often called the first tripwire/.</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Its key that this does not say the Upper Basin must deliver one-half of the deficiency each year,  if there is a big equalization or balancing release from Lake Powell then can that water in Lake Mead be used to cover multiple years of the Upper Basin III(c) obligation?</w:t>
      </w:r>
    </w:p>
    <w:p>
      <w:pPr>
        <w:pStyle w:val="Heading3"/>
        <w:rPr/>
      </w:pPr>
      <w:r>
        <w:rPr/>
        <w:t>Status Quo</w:t>
      </w:r>
    </w:p>
    <w:p>
      <w:pPr>
        <w:pStyle w:val="Normal"/>
        <w:spacing w:before="0" w:after="0"/>
        <w:rPr/>
      </w:pPr>
      <w:r>
        <w:rPr/>
        <w:t>Arizona documented the</w:t>
      </w:r>
      <w:r>
        <w:rPr/>
        <w:t xml:space="preserve">ir </w:t>
      </w:r>
      <w:r>
        <w:rPr/>
        <w:t>position, the</w:t>
      </w:r>
      <w:r>
        <w:rPr/>
        <w:t xml:space="preserve"> </w:t>
      </w:r>
      <w:r>
        <w:rPr/>
        <w:t xml:space="preserve">basis for litigation </w:t>
      </w:r>
      <w:r>
        <w:rPr/>
        <w:t>threats in 2007</w:t>
      </w:r>
      <w:r>
        <w:rPr/>
        <w:t xml:space="preserve"> in this paper </w:t>
      </w:r>
      <w:r>
        <w:rPr/>
        <w:t>and kind of what we got in the 2007 guidelines so its the status quo</w:t>
      </w:r>
      <w:r>
        <w:rPr/>
        <w:t>:</w:t>
      </w:r>
    </w:p>
    <w:p>
      <w:pPr>
        <w:pStyle w:val="Normal"/>
        <w:spacing w:before="0" w:after="0"/>
        <w:rPr/>
      </w:pPr>
      <w:r>
        <w:rPr/>
      </w:r>
    </w:p>
    <w:p>
      <w:pPr>
        <w:pStyle w:val="Normal"/>
        <w:spacing w:before="0" w:after="0"/>
        <w:ind w:left="720" w:hanging="0"/>
        <w:rPr/>
      </w:pPr>
      <w:hyperlink r:id="rId8">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b w:val="false"/>
          <w:bCs w:val="false"/>
        </w:rPr>
        <w:t xml:space="preserve">W. Patrick Schiffer, Herbert R. Guenther &amp; Thomas G. Carr </w:t>
      </w:r>
    </w:p>
    <w:p>
      <w:pPr>
        <w:pStyle w:val="Normal"/>
        <w:spacing w:before="0" w:after="0"/>
        <w:ind w:left="720" w:hanging="0"/>
        <w:rPr>
          <w:b w:val="false"/>
          <w:b w:val="false"/>
          <w:bCs w:val="false"/>
        </w:rPr>
      </w:pPr>
      <w:r>
        <w:rPr/>
      </w:r>
    </w:p>
    <w:p>
      <w:pPr>
        <w:pStyle w:val="Normal"/>
        <w:spacing w:before="0" w:after="0"/>
        <w:ind w:left="0" w:hanging="0"/>
        <w:rPr/>
      </w:pPr>
      <w:r>
        <w:rPr>
          <w:b w:val="false"/>
          <w:bCs w:val="false"/>
        </w:rPr>
        <w:t>The Schiffer and Guenther paper (co-authored with Carr) argues that Article III(c) of the Colorado River Compact defines "surplus" as annual system-wide supply exceeding the 16 MAF aggregate apportionments in Articles III(a) and (b) (7.5 MAF each to Upper and Lower Basins). Any surplus over 16 MAF must first satisfy the 1.5 MAF Mexican Treaty obligation; if supply is deficient, the Upper and Lower Basins share the burden equally, with the Upper Basin delivering its half (0.75 MAF) at Lee Ferry plus evaporative/transit losses (totaling ~0.9 MAF Upper share). The authors reject the Upper Division States' view that Lower Basin usage exceeding 8.5 MAF constitutes "surplus" to be applied solely by the Lower Basin to Mexico, insisting instead on system-wide assessment to protect Arizona from undue shortages.</w:t>
        <w:br/>
        <w:br/>
        <w:t>On releases, the paper critiques the 8.23 MAF minimum objective release from Lake Powell as inadequate, excluding full losses and risking Lake Mead depletion that fails to meet ~9 MAF mainstream Lower Division needs (Lower apportionment plus Mexico). It proposes ~8.38 MAF in deficiency years (0.9 MAF Mexican share + 7.48 MAF Article III(d)) and up to 9.28 MAF in surplus years, prioritizing the Upper's Mexican share first under the Basin Project Act and LROC. An interim solution suggests variable 7-9 MAF releases to equalize reservoirs and avert crises, bridging toward long-term augmentation.</w:t>
      </w:r>
    </w:p>
    <w:p>
      <w:pPr>
        <w:pStyle w:val="Heading3"/>
        <w:rPr/>
      </w:pPr>
      <w:r>
        <w:rPr/>
        <w:t>Scenario 1 – All Deficit, All the Time</w:t>
      </w:r>
    </w:p>
    <w:p>
      <w:pPr>
        <w:pStyle w:val="Normal"/>
        <w:spacing w:before="0" w:after="0"/>
        <w:rPr>
          <w:b w:val="false"/>
          <w:b w:val="false"/>
          <w:bCs w:val="false"/>
        </w:rPr>
      </w:pPr>
      <w:r>
        <w:rPr>
          <w:b w:val="false"/>
          <w:bCs w:val="false"/>
          <w:i/>
          <w:iCs/>
        </w:rPr>
      </w:r>
    </w:p>
    <w:p>
      <w:pPr>
        <w:pStyle w:val="Normal"/>
        <w:spacing w:before="0" w:after="0"/>
        <w:ind w:hanging="0"/>
        <w:rPr/>
      </w:pPr>
      <w:r>
        <w:rPr>
          <w:b/>
          <w:bCs/>
        </w:rPr>
        <w:t>If the river is in a deficit the key question is where does the Lower Basin’s half of the obligation come from when:</w:t>
      </w:r>
    </w:p>
    <w:p>
      <w:pPr>
        <w:pStyle w:val="Normal"/>
        <w:spacing w:before="0" w:after="0"/>
        <w:rPr>
          <w:b/>
          <w:b/>
          <w:bCs/>
        </w:rPr>
      </w:pPr>
      <w:r>
        <w:rPr/>
      </w:r>
    </w:p>
    <w:p>
      <w:pPr>
        <w:pStyle w:val="Normal"/>
        <w:numPr>
          <w:ilvl w:val="0"/>
          <w:numId w:val="8"/>
        </w:numPr>
        <w:spacing w:before="0" w:after="0"/>
        <w:rPr>
          <w:b w:val="false"/>
          <w:b w:val="false"/>
          <w:bCs w:val="false"/>
        </w:rPr>
      </w:pPr>
      <w:r>
        <w:rPr>
          <w:b w:val="false"/>
          <w:bCs w:val="false"/>
        </w:rPr>
        <w:t>highly variable Grand Canyon tributaries which offsets Lake Mead evaporation</w:t>
      </w:r>
    </w:p>
    <w:p>
      <w:pPr>
        <w:pStyle w:val="Normal"/>
        <w:numPr>
          <w:ilvl w:val="0"/>
          <w:numId w:val="8"/>
        </w:numPr>
        <w:spacing w:before="0" w:after="0"/>
        <w:rPr>
          <w:b w:val="false"/>
          <w:b w:val="false"/>
          <w:bCs w:val="false"/>
        </w:rPr>
      </w:pPr>
      <w:r>
        <w:rPr>
          <w:b w:val="false"/>
          <w:bCs w:val="false"/>
        </w:rPr>
        <w:t>stored water in Lake Mead that came from unused III(d), equalization or balancing</w:t>
      </w:r>
    </w:p>
    <w:p>
      <w:pPr>
        <w:pStyle w:val="Normal"/>
        <w:numPr>
          <w:ilvl w:val="0"/>
          <w:numId w:val="8"/>
        </w:numPr>
        <w:spacing w:before="0" w:after="0"/>
        <w:rPr>
          <w:b w:val="false"/>
          <w:b w:val="false"/>
          <w:bCs w:val="false"/>
        </w:rPr>
      </w:pPr>
      <w:r>
        <w:rPr>
          <w:b w:val="false"/>
          <w:bCs w:val="false"/>
        </w:rPr>
        <w:t>conserved water from the</w:t>
      </w:r>
      <w:r>
        <w:rPr>
          <w:b w:val="false"/>
          <w:bCs w:val="false"/>
        </w:rPr>
        <w:t xml:space="preserve"> Lower Basin’s 7.5 MAF </w:t>
      </w:r>
      <w:r>
        <w:rPr>
          <w:b w:val="false"/>
          <w:bCs w:val="false"/>
        </w:rPr>
        <w:t>entitlement</w:t>
      </w:r>
      <w:r>
        <w:rPr>
          <w:b w:val="false"/>
          <w:bCs w:val="false"/>
        </w:rPr>
        <w:t>(aka shortages)</w:t>
      </w:r>
    </w:p>
    <w:p>
      <w:pPr>
        <w:pStyle w:val="TextBody"/>
        <w:numPr>
          <w:ilvl w:val="0"/>
          <w:numId w:val="8"/>
        </w:numPr>
        <w:spacing w:before="0" w:after="0"/>
        <w:rPr/>
      </w:pPr>
      <w:r>
        <w:rPr>
          <w:b w:val="false"/>
          <w:bCs w:val="false"/>
        </w:rPr>
        <w:t xml:space="preserve">Wellton-Mohawk toxic return flows which would have to be taken from </w:t>
      </w:r>
      <w:r>
        <w:rPr>
          <w:b w:val="false"/>
          <w:bCs w:val="false"/>
        </w:rPr>
        <w:t>Ciénega de Santa Clara</w:t>
      </w:r>
      <w:r>
        <w:rPr>
          <w:b w:val="false"/>
          <w:bCs w:val="false"/>
        </w:rPr>
        <w:t xml:space="preserve"> and be desalinated.  </w:t>
      </w:r>
      <w:r>
        <w:rPr>
          <w:b w:val="false"/>
          <w:bCs w:val="false"/>
        </w:rPr>
        <w:t>Audubon and Mexico would oppose this</w:t>
      </w:r>
    </w:p>
    <w:p>
      <w:pPr>
        <w:pStyle w:val="Heading3"/>
        <w:rPr/>
      </w:pPr>
      <w:r>
        <w:rPr/>
        <w:t xml:space="preserve">Scenario 2 – </w:t>
      </w:r>
      <w:r>
        <w:rPr/>
        <w:t>Beneficial Consumptive Use Based</w:t>
      </w:r>
    </w:p>
    <w:p>
      <w:pPr>
        <w:pStyle w:val="Normal"/>
        <w:spacing w:before="0" w:after="0"/>
        <w:rPr/>
      </w:pPr>
      <w:r>
        <w:rPr/>
        <w:br/>
        <w:t xml:space="preserve">Core Upper Basin Argument: </w:t>
      </w:r>
      <w:r>
        <w:rPr>
          <w:b/>
          <w:bCs/>
        </w:rPr>
        <w:t>The Compact Apportions Beneficial Consumptive Use, Not Raw Flow — So “Surplus” Is Defined Relative to Actual Apportioned Uses, Not a Hypothetical 16 MAF System Supply Number</w:t>
      </w:r>
    </w:p>
    <w:p>
      <w:pPr>
        <w:pStyle w:val="Normal"/>
        <w:spacing w:before="0" w:after="0"/>
        <w:rPr/>
      </w:pPr>
      <w:r>
        <w:rPr/>
      </w:r>
    </w:p>
    <w:p>
      <w:pPr>
        <w:pStyle w:val="Normal"/>
        <w:numPr>
          <w:ilvl w:val="0"/>
          <w:numId w:val="1"/>
        </w:numPr>
        <w:spacing w:before="0" w:after="0"/>
        <w:rPr/>
      </w:pPr>
      <w:r>
        <w:rPr/>
        <w:t>The Compact is about beneficial consumptive use, not total virgin flow or system supply Article III(a)–(b) apportion “beneficial consumptive use” (the key phrase repeated throughout the Compact). Article III(c) expressly ties the surplus calculation to “the aggregate of the quantities specified in paragraphs (a) and (b)” — i.e., the apportioned beneficial consumptive uses (Upper 7.5 + Lower 8.5 = 16 MAF). If the Lower Basin is already consuming &gt;8.5 MAF (mainstem + tributaries + evaporation/ losses charged to it), then any water it is using beyond its apportionment is, by definition, surplus that Article III(c) says must first go to Mexico. There is no “deficiency” until the Lower Basin has reduced its use to its apportioned 8.5 MAF. → This directly refutes the paper’s claim that Lower Basin use is “irrelevant.” The Compact itself makes actual use relevant.</w:t>
      </w:r>
    </w:p>
    <w:p>
      <w:pPr>
        <w:pStyle w:val="Normal"/>
        <w:numPr>
          <w:ilvl w:val="0"/>
          <w:numId w:val="1"/>
        </w:numPr>
        <w:spacing w:before="0" w:after="0"/>
        <w:rPr/>
      </w:pPr>
      <w:r>
        <w:rPr/>
        <w:t xml:space="preserve"> </w:t>
      </w:r>
      <w:r>
        <w:rPr/>
        <w:t>Lower Basin has been using 10–11+ MAF for decades (including tributaries) In the years the paper was written (and still today), Lower Basin consumptive use (Arizona, California, Nevada mainstem + Gila, Virgin, etc. tributaries + reservoir evaporation charged to Lower) routinely exceeds 10 MAF. That excess (≥1.5 MAF) is precisely the “surplus” III(c) requires to be applied to Mexico first. No deficiency exists; Upper Basin has no III(c) obligation beyond the III(d) non-depletion floor. The paper’s insistence on a pure “system supply &gt;16 MAF” test would mean the Lower Basin can overuse its apportionment indefinitely while still forcing the Upper Basin to deliver extra water for Mexico — an outcome the Compact negotiators never intended and that would violate the equitable division premise.</w:t>
      </w:r>
    </w:p>
    <w:p>
      <w:pPr>
        <w:pStyle w:val="Normal"/>
        <w:numPr>
          <w:ilvl w:val="0"/>
          <w:numId w:val="1"/>
        </w:numPr>
        <w:spacing w:before="0" w:after="0"/>
        <w:rPr/>
      </w:pPr>
      <w:r>
        <w:rPr/>
        <w:t>The extra 1 MAF in III(b) was always understood as coming from surplus Article III(b) gives the Lower Basin the right to increase its use by 1 MAF “in addition to” the base apportionment. Negotiators (and later Upper Basin witnesses in 1948 Upper Compact hearings and 1960s CAP debates) treated that extra 1 MAF as the Lower Basin’s share of expected long-term surplus. If the Lower Basin is already taking that (and more), it cannot simultaneously claim there is no surplus for Mexico.</w:t>
      </w:r>
    </w:p>
    <w:p>
      <w:pPr>
        <w:pStyle w:val="Normal"/>
        <w:numPr>
          <w:ilvl w:val="0"/>
          <w:numId w:val="1"/>
        </w:numPr>
        <w:spacing w:before="0" w:after="0"/>
        <w:rPr/>
      </w:pPr>
      <w:r>
        <w:rPr/>
        <w:t>Tributaries and losses reinforce the point Lower Basin tributaries (especially the Gila) are part of the “Colorado River System” (Art. II(a)) and count toward Lower Basin use for purposes of determining surplus/deficiency. Upper Basin deliveries at Lee Ferry do not have to compensate for Lower Basin channel losses/evaporation — those are borne by the Lower Basin from its own apportionment (the Lee Ferry delivery point was chosen for exactly this reason).</w:t>
      </w:r>
    </w:p>
    <w:p>
      <w:pPr>
        <w:pStyle w:val="Normal"/>
        <w:numPr>
          <w:ilvl w:val="0"/>
          <w:numId w:val="1"/>
        </w:numPr>
        <w:spacing w:before="0" w:after="0"/>
        <w:rPr/>
      </w:pPr>
      <w:r>
        <w:rPr/>
        <w:t>Historical practice and the 8.23 MAF minimum objective release Since the 1970s, Reclamation has operated Glen Canyon Dam to a minimum objective release of ~8.23 MAF (≈7.5 III(d) + a small buffer, but not the full 0.75–0.9 MAF III(c) share the paper demands). Upper Basin states have never accepted the Lower Basin’s 8.25 MAF (or higher) figure as legally required under III(c), and they have never been forced to litigate it because their position has effectively prevailed in operations. The paper’s interpretation would retroactively declare decades of operations illegal.</w:t>
      </w:r>
    </w:p>
    <w:p>
      <w:pPr>
        <w:pStyle w:val="Normal"/>
        <w:spacing w:before="0" w:after="0"/>
        <w:rPr/>
      </w:pPr>
      <w:r>
        <w:rPr/>
        <w:br/>
        <w:t>In short, the Upper Basin’s best refutation is that the Schiffer-Guenther paper reads Article III(c) in isolation and ignores the Compact’s overarching framework of beneficial consumptive use apportionments. Once you measure “surplus” against actual basin uses (as the Compact requires), the Lower Basin’s longstanding overuse of its own apportionment supplies all the “surplus” needed for Mexico. There is no deficiency, and the Upper Basin has no additional delivery obligation under III(c).</w:t>
      </w:r>
    </w:p>
    <w:p>
      <w:pPr>
        <w:pStyle w:val="Normal"/>
        <w:spacing w:before="0" w:after="0"/>
        <w:rPr/>
      </w:pPr>
      <w:r>
        <w:rPr/>
        <w:br/>
        <w:t>This is why the issue has never been conclusively litigated — both sides have strong textual and historical arguments, but the Upper Basin view protects its ability to develop while holding the Lower Basin accountable for its own overuse. The 2007 Interim Guidelines and subsequent agreements deliberately punted the legal question in favor of operational compromise, but the underlying interpretive disagreement remains exactly as it was in 2004–2007.</w:t>
      </w:r>
    </w:p>
    <w:p>
      <w:pPr>
        <w:pStyle w:val="Heading3"/>
        <w:rPr/>
      </w:pPr>
      <w:r>
        <w:rPr/>
        <w:t xml:space="preserve">Scenario 3 – </w:t>
      </w:r>
      <w:r>
        <w:rPr/>
        <w:t>Supply Based</w:t>
      </w:r>
    </w:p>
    <w:p>
      <w:pPr>
        <w:pStyle w:val="Normal"/>
        <w:spacing w:before="0" w:after="0"/>
        <w:rPr/>
      </w:pPr>
      <w:r>
        <w:rPr/>
        <w:t xml:space="preserve">Core Upper Basin Argument: </w:t>
      </w:r>
      <w:r>
        <w:rPr>
          <w:b/>
          <w:bCs/>
        </w:rP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 So as long as there is extra water in Mead for III(c) does that mean there is no deficiency. If so 8.25 isn’t the basis for a call?</w:t>
      </w:r>
    </w:p>
    <w:p>
      <w:pPr>
        <w:pStyle w:val="Normal"/>
        <w:spacing w:before="0" w:after="0"/>
        <w:rPr/>
      </w:pPr>
      <w:r>
        <w:rPr/>
      </w:r>
    </w:p>
    <w:p>
      <w:pPr>
        <w:pStyle w:val="Normal"/>
        <w:numPr>
          <w:ilvl w:val="0"/>
          <w:numId w:val="8"/>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8"/>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8"/>
        </w:numPr>
        <w:spacing w:before="0" w:after="0"/>
        <w:rPr/>
      </w:pPr>
      <w:r>
        <w:rPr/>
        <w:t>Mexico’s 1.5 MAF (per the 1944 Treaty) comes first from any system-wide surplus above that 7.5 MAF or 8.5 MAF.</w:t>
      </w:r>
    </w:p>
    <w:p>
      <w:pPr>
        <w:pStyle w:val="Normal"/>
        <w:numPr>
          <w:ilvl w:val="0"/>
          <w:numId w:val="8"/>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numPr>
          <w:ilvl w:val="0"/>
          <w:numId w:val="8"/>
        </w:numPr>
        <w:spacing w:before="0" w:after="0"/>
        <w:rPr/>
      </w:pPr>
      <w:r>
        <w:rPr/>
        <w:t>1.5 MAF is the default Mexico obligation. It is currently a little lower thanks to shortages Mexico is taking to help the system</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In wet years or equalization operations (like 2011 when the two reservoirs were deliberately rebalanced), extra water is released from Powell → through Lee’s Ferry → into Lake Mead. That water becomes stored surplus in Mead.</w:t>
      </w:r>
    </w:p>
    <w:p>
      <w:pPr>
        <w:pStyle w:val="Normal"/>
        <w:spacing w:before="0" w:after="0"/>
        <w:rPr/>
      </w:pPr>
      <w:r>
        <w:rPr/>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8"/>
        </w:numPr>
        <w:spacing w:before="0" w:after="0"/>
        <w:rPr/>
      </w:pPr>
      <w:r>
        <w:rPr/>
        <w:t>Surplus water for Mexico → can be (and is) supplied from Lake Mead storage that accumulated in big years.</w:t>
      </w:r>
    </w:p>
    <w:p>
      <w:pPr>
        <w:pStyle w:val="Normal"/>
        <w:numPr>
          <w:ilvl w:val="0"/>
          <w:numId w:val="8"/>
        </w:numPr>
        <w:spacing w:before="0" w:after="0"/>
        <w:rPr/>
      </w:pPr>
      <w:r>
        <w:rPr/>
        <w:t>Deficiency share → triggers Lee’s Ferry delivery obligation from the Upper Basin.</w:t>
      </w:r>
    </w:p>
    <w:p>
      <w:pPr>
        <w:pStyle w:val="Normal"/>
        <w:numPr>
          <w:ilvl w:val="0"/>
          <w:numId w:val="8"/>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r>
        <w:br w:type="page"/>
      </w:r>
    </w:p>
    <w:p>
      <w:pPr>
        <w:pStyle w:val="Heading2"/>
        <w:rPr/>
      </w:pPr>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8"/>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8"/>
        </w:numPr>
        <w:spacing w:before="0" w:after="0"/>
        <w:rPr/>
      </w:pPr>
      <w:r>
        <w:rPr/>
        <w:t xml:space="preserve">Simultaneously, it restrained the Upper Basin from indefinitely hoarding water that served no beneficial purpose and could be used downstream. </w:t>
      </w:r>
    </w:p>
    <w:p>
      <w:pPr>
        <w:pStyle w:val="Normal"/>
        <w:numPr>
          <w:ilvl w:val="0"/>
          <w:numId w:val="8"/>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8"/>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8"/>
        </w:numPr>
        <w:spacing w:before="0" w:after="0"/>
        <w:rPr/>
      </w:pPr>
      <w:r>
        <w:rPr/>
        <w:t xml:space="preserve">Long-Range Operating Criteria and post-2007 guidelines incorporate III(e) in a limited, conditional manner, consistent with its reciprocal nature. </w:t>
      </w:r>
    </w:p>
    <w:p>
      <w:pPr>
        <w:pStyle w:val="Normal"/>
        <w:numPr>
          <w:ilvl w:val="0"/>
          <w:numId w:val="8"/>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Guenther Schiffer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8"/>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8"/>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8"/>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9">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rPr/>
      </w:pPr>
      <w:r>
        <w:rPr/>
      </w:r>
    </w:p>
    <w:p>
      <w:pPr>
        <w:pStyle w:val="Normal"/>
        <w:rPr>
          <w:b/>
          <w:b/>
          <w:bCs/>
        </w:rPr>
      </w:pPr>
      <w:r>
        <w:rPr>
          <w:b/>
          <w:bCs/>
        </w:rPr>
        <w:t>It is a near certainty that Lower Basin, especially Arizona’s, taking delivery of water from reservoirs in the 90’s, and probably continuing today, for long term storage in its aquifers and contributing to the current crisis in Lake Powell is a direct and unambiguous violation of Article III(e).</w:t>
      </w:r>
      <w:r>
        <w:br w:type="page"/>
      </w:r>
    </w:p>
    <w:p>
      <w:pPr>
        <w:pStyle w:val="Heading2"/>
        <w:rPr/>
      </w:pPr>
      <w:r>
        <w:rPr/>
        <w:b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8"/>
        </w:numPr>
        <w:spacing w:before="0" w:after="0"/>
        <w:rPr/>
      </w:pPr>
      <w:r>
        <w:rPr/>
        <w:t>the 2007 Interim Guidelines’ treatment of Compact Article III(c)</w:t>
      </w:r>
    </w:p>
    <w:p>
      <w:pPr>
        <w:pStyle w:val="Normal"/>
        <w:numPr>
          <w:ilvl w:val="0"/>
          <w:numId w:val="8"/>
        </w:numPr>
        <w:spacing w:before="0" w:after="0"/>
        <w:rPr/>
      </w:pPr>
      <w:r>
        <w:rPr/>
        <w:t xml:space="preserve">CAP’s exploitation of the operational “sweet spot,” </w:t>
      </w:r>
    </w:p>
    <w:p>
      <w:pPr>
        <w:pStyle w:val="Normal"/>
        <w:numPr>
          <w:ilvl w:val="0"/>
          <w:numId w:val="8"/>
        </w:numPr>
        <w:spacing w:before="0" w:after="0"/>
        <w:rPr/>
      </w:pPr>
      <w:r>
        <w:rPr/>
        <w:t>the resulting 9 MAF Powell releases in 2015–2019</w:t>
      </w:r>
    </w:p>
    <w:p>
      <w:pPr>
        <w:pStyle w:val="Normal"/>
        <w:numPr>
          <w:ilvl w:val="0"/>
          <w:numId w:val="8"/>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ind w:left="720" w:hanging="0"/>
        <w:rPr/>
      </w:pPr>
      <w:r>
        <w:rPr/>
        <w:br/>
      </w:r>
      <w:hyperlink r:id="rId10">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11">
        <w:r>
          <w:rPr>
            <w:rStyle w:val="InternetLink"/>
          </w:rPr>
          <w:t>The 1922 Compact is Now the Obvious Elephant in the Negotiating Room</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12">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8"/>
        </w:numPr>
        <w:spacing w:before="0" w:after="0"/>
        <w:rPr/>
      </w:pPr>
      <w:r>
        <w:rPr/>
        <w:t xml:space="preserve">Lower Basin states could argue a Compact violation (“Compact call”). </w:t>
      </w:r>
    </w:p>
    <w:p>
      <w:pPr>
        <w:pStyle w:val="Normal"/>
        <w:numPr>
          <w:ilvl w:val="0"/>
          <w:numId w:val="8"/>
        </w:numPr>
        <w:spacing w:before="0" w:after="0"/>
        <w:rPr/>
      </w:pPr>
      <w:r>
        <w:rPr/>
        <w:t xml:space="preserve">• </w:t>
      </w:r>
      <w:r>
        <w:rPr/>
        <w:t xml:space="preserve">This would pressure Upper Basin states to curtail uses (post-Compact rights first) to restore deliveries. </w:t>
      </w:r>
    </w:p>
    <w:p>
      <w:pPr>
        <w:pStyle w:val="Normal"/>
        <w:numPr>
          <w:ilvl w:val="0"/>
          <w:numId w:val="8"/>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8"/>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8"/>
        </w:numPr>
        <w:spacing w:before="0" w:after="0"/>
        <w:rPr/>
      </w:pPr>
      <w:r>
        <w:rPr/>
        <w:t xml:space="preserve">Reclamation administers the dams under the CRBPA and prior acts; courts give deference to federal operational discretion. </w:t>
      </w:r>
    </w:p>
    <w:p>
      <w:pPr>
        <w:pStyle w:val="Normal"/>
        <w:numPr>
          <w:ilvl w:val="0"/>
          <w:numId w:val="8"/>
        </w:numPr>
        <w:spacing w:before="0" w:after="0"/>
        <w:rPr/>
      </w:pPr>
      <w:r>
        <w:rPr/>
        <w:t>No court has ever ruled on the exact III(c) delivery obligation or enforced the 82.5 MAF tripwire.</w:t>
      </w:r>
    </w:p>
    <w:p>
      <w:pPr>
        <w:pStyle w:val="Normal"/>
        <w:numPr>
          <w:ilvl w:val="0"/>
          <w:numId w:val="8"/>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rPr/>
      </w:pPr>
      <w:r>
        <w:rPr/>
      </w:r>
      <w:r>
        <w:br w:type="page"/>
      </w:r>
    </w:p>
    <w:p>
      <w:pPr>
        <w:pStyle w:val="Normal"/>
        <w:rPr/>
      </w:pPr>
      <w:r>
        <w:rPr/>
      </w:r>
    </w:p>
    <w:p>
      <w:pPr>
        <w:pStyle w:val="Normal"/>
        <w:rPr/>
      </w:pPr>
      <w:r>
        <w:rPr/>
        <w:t xml:space="preserve">Table 1 – Release, Consumptive Use and Reservoir Data </w:t>
      </w:r>
      <w:r>
        <w:rPr/>
        <w:t>(Not yet verified!!)</w:t>
      </w:r>
      <w:r>
        <w:rPr/>
        <w:t xml:space="preserve"> </w:t>
      </w:r>
    </w:p>
    <w:p>
      <w:pPr>
        <w:pStyle w:val="Normal"/>
        <w:spacing w:before="0" w:after="200"/>
        <w:rPr/>
      </w:pPr>
      <w:r>
        <w:rPr/>
        <w:object w:dxaOrig="9833" w:dyaOrig="11521">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position:absolute;margin-left:-11.8pt;margin-top:0pt;width:491.65pt;height:576.05pt;mso-position-horizontal-relative:text;mso-position-vertical-relative:text" filled="f" o:ole="">
            <v:imagedata r:id="rId14" o:title=""/>
            <w10:wrap type="square" side="largest"/>
          </v:shape>
          <o:OLEObject Type="Embed" ProgID="Excel.Sheet.12" ShapeID="ole_rId13" DrawAspect="Content" ObjectID="_563356769" r:id="rId13"/>
        </w:objec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4"/>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2"/>
      </w:numPr>
      <w:spacing w:before="0" w:after="200"/>
      <w:contextualSpacing/>
    </w:pPr>
    <w:rPr/>
  </w:style>
  <w:style w:type="paragraph" w:styleId="ListBullet2">
    <w:name w:val="List Bullet 2"/>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5"/>
      </w:numPr>
      <w:spacing w:before="0" w:after="200"/>
      <w:contextualSpacing/>
    </w:pPr>
    <w:rPr/>
  </w:style>
  <w:style w:type="paragraph" w:styleId="ListNumber2">
    <w:name w:val="List Number 2"/>
    <w:basedOn w:val="Normal"/>
    <w:uiPriority w:val="99"/>
    <w:unhideWhenUsed/>
    <w:qFormat/>
    <w:rsid w:val="0029639d"/>
    <w:pPr>
      <w:numPr>
        <w:ilvl w:val="0"/>
        <w:numId w:val="6"/>
      </w:numPr>
      <w:spacing w:before="0" w:after="200"/>
      <w:contextualSpacing/>
    </w:pPr>
    <w:rPr/>
  </w:style>
  <w:style w:type="paragraph" w:styleId="ListNumber3">
    <w:name w:val="List Number 3"/>
    <w:basedOn w:val="Normal"/>
    <w:uiPriority w:val="99"/>
    <w:unhideWhenUsed/>
    <w:qFormat/>
    <w:rsid w:val="0029639d"/>
    <w:pPr>
      <w:numPr>
        <w:ilvl w:val="0"/>
        <w:numId w:val="7"/>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sbr.gov/uc/DocLibrary/Memos/20240326-EstablishmentInterimOperatingGuidanceGlenCanyonDamLowReservoirLevels-TechnicalDecisionMemo-508-TSC.pdf"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1.png"/><Relationship Id="rId7" Type="http://schemas.openxmlformats.org/officeDocument/2006/relationships/hyperlink" Target="https://www.varuna.io/LOTR/1922/crcompct.pdf" TargetMode="External"/><Relationship Id="rId8" Type="http://schemas.openxmlformats.org/officeDocument/2006/relationships/hyperlink" Target="https://arizonalawreview.org/schiffer-guenther/" TargetMode="External"/><Relationship Id="rId9" Type="http://schemas.openxmlformats.org/officeDocument/2006/relationships/hyperlink" Target="https://www.varuna.io/LOTR/2004/CWCB_November_Letters_to_Norton.pdf" TargetMode="External"/><Relationship Id="rId10" Type="http://schemas.openxmlformats.org/officeDocument/2006/relationships/hyperlink" Target="https://www.varuna.io/LOTR/1968/crbproj.pdf" TargetMode="External"/><Relationship Id="rId11" Type="http://schemas.openxmlformats.org/officeDocument/2006/relationships/hyperlink" Target="https://www.inkstain.net/wp-content/uploads/Tripwire-Paper-FINAL.pdf" TargetMode="External"/><Relationship Id="rId12" Type="http://schemas.openxmlformats.org/officeDocument/2006/relationships/hyperlink" Target="https://library.cap-az.com/documents/education/2018-Tintor.pdf" TargetMode="External"/><Relationship Id="rId13" Type="http://schemas.openxmlformats.org/officeDocument/2006/relationships/package" Target="embeddings/oleObject1.xlsx"/><Relationship Id="rId14" Type="http://schemas.openxmlformats.org/officeDocument/2006/relationships/image" Target="media/image4.emf"/><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Application>LibreOffice/7.3.7.2$Linux_AARCH64 LibreOffice_project/30$Build-2</Application>
  <AppVersion>15.0000</AppVersion>
  <Pages>18</Pages>
  <Words>5119</Words>
  <Characters>26799</Characters>
  <CharactersWithSpaces>31818</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2026-02-10T16:04:36Z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