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sz w:val="48"/>
        </w:rPr>
        <w:t>Be Fierce Right Now</w:t>
      </w:r>
    </w:p>
    <w:p>
      <w:pPr>
        <w:pStyle w:val="Normal"/>
        <w:jc w:val="center"/>
        <w:rPr/>
      </w:pPr>
      <w:r>
        <w:rPr>
          <w:b/>
          <w:sz w:val="48"/>
        </w:rPr>
        <w:t>Upper Basin</w:t>
      </w:r>
    </w:p>
    <w:p>
      <w:pPr>
        <w:pStyle w:val="Normal"/>
        <w:jc w:val="center"/>
        <w:rPr/>
      </w:pPr>
      <w:r>
        <w:rPr>
          <w:b/>
          <w:sz w:val="48"/>
        </w:rPr>
        <w:t xml:space="preserve">Colorado </w:t>
      </w:r>
      <w:r>
        <w:rPr>
          <w:b/>
          <w:sz w:val="48"/>
        </w:rPr>
        <w:t xml:space="preserve">River </w:t>
      </w:r>
      <w:r>
        <w:rPr>
          <w:b/>
          <w:sz w:val="48"/>
        </w:rPr>
        <w:t>Compact Crisis Strategy</w:t>
      </w:r>
    </w:p>
    <w:p>
      <w:pPr>
        <w:pStyle w:val="Normal"/>
        <w:jc w:val="center"/>
        <w:rPr/>
      </w:pPr>
      <w:r>
        <w:rPr>
          <w:b/>
          <w:sz w:val="40"/>
        </w:rPr>
        <w:t>in Four Parts</w:t>
      </w:r>
    </w:p>
    <w:p>
      <w:pPr>
        <w:pStyle w:val="Normal"/>
        <w:rPr/>
      </w:pPr>
      <w:r>
        <w:rPr/>
      </w:r>
    </w:p>
    <w:p>
      <w:pPr>
        <w:pStyle w:val="Normal"/>
        <w:rPr/>
      </w:pPr>
      <w:r>
        <w:rPr/>
      </w:r>
    </w:p>
    <w:p>
      <w:pPr>
        <w:pStyle w:val="Normal"/>
        <w:jc w:val="center"/>
        <w:rPr/>
      </w:pPr>
      <w:r>
        <w:rPr>
          <w:sz w:val="28"/>
        </w:rPr>
        <w:t>Prepared by: Ed Millard</w:t>
      </w:r>
    </w:p>
    <w:p>
      <w:pPr>
        <w:pStyle w:val="Normal"/>
        <w:jc w:val="center"/>
        <w:rPr/>
      </w:pPr>
      <w:r>
        <w:rPr>
          <w:sz w:val="28"/>
        </w:rPr>
        <w:t xml:space="preserve">Water Policy Advisor to </w:t>
      </w:r>
      <w:r>
        <w:rPr>
          <w:sz w:val="28"/>
        </w:rPr>
        <w:t xml:space="preserve">Colorado </w:t>
      </w:r>
      <w:r>
        <w:rPr>
          <w:sz w:val="28"/>
        </w:rPr>
        <w:t>Rep. Larry Don Suckla</w:t>
      </w:r>
    </w:p>
    <w:p>
      <w:pPr>
        <w:pStyle w:val="Normal"/>
        <w:jc w:val="center"/>
        <w:rPr/>
      </w:pPr>
      <w:r>
        <w:rPr>
          <w:sz w:val="28"/>
        </w:rPr>
        <w:t>Date: February 8, 2026</w:t>
      </w:r>
    </w:p>
    <w:p>
      <w:pPr>
        <w:pStyle w:val="Normal"/>
        <w:jc w:val="center"/>
        <w:rPr/>
      </w:pPr>
      <w:r>
        <w:rPr>
          <w:sz w:val="28"/>
        </w:rPr>
        <w:t>Version 0.</w:t>
      </w:r>
      <w:r>
        <w:rPr>
          <w:sz w:val="28"/>
        </w:rPr>
        <w:t>6</w:t>
      </w:r>
    </w:p>
    <w:p>
      <w:pPr>
        <w:pStyle w:val="Normal"/>
        <w:jc w:val="center"/>
        <w:rPr/>
      </w:pPr>
      <w:r>
        <w:rPr>
          <w:sz w:val="28"/>
        </w:rPr>
        <w:t>Draft, Do Not Distribute</w:t>
      </w:r>
    </w:p>
    <w:p>
      <w:pPr>
        <w:pStyle w:val="Normal"/>
        <w:rPr/>
      </w:pPr>
      <w:r>
        <w:rPr/>
      </w:r>
    </w:p>
    <w:p>
      <w:pPr>
        <w:pStyle w:val="Normal"/>
        <w:rPr/>
      </w:pPr>
      <w:r>
        <w:rPr/>
      </w:r>
      <w:r>
        <w:br w:type="page"/>
      </w:r>
    </w:p>
    <w:p>
      <w:pPr>
        <w:pStyle w:val="Heading1"/>
        <w:rPr/>
      </w:pPr>
      <w:bookmarkStart w:id="0" w:name="__RefHeading___Toc15732_3941092844111"/>
      <w:bookmarkEnd w:id="0"/>
      <w:r>
        <w:rPr/>
        <w:t>Overview</w:t>
      </w:r>
    </w:p>
    <w:p>
      <w:pPr>
        <w:pStyle w:val="Normal"/>
        <w:spacing w:before="0" w:after="0"/>
        <w:rPr/>
      </w:pPr>
      <w:r>
        <w:rPr/>
        <w:t xml:space="preserve"> </w:t>
      </w:r>
      <w:r>
        <w:rPr/>
        <w:br/>
        <w:t xml:space="preserve">My goal here is to deter Central Arizona Project(CAP) from going down litigation road by clearly defining Upper Basin litigation strategies and to make them think twice </w:t>
      </w:r>
      <w:r>
        <w:rPr>
          <w:b/>
          <w:bCs/>
        </w:rPr>
        <w:t>right now</w:t>
      </w:r>
      <w:r>
        <w:rPr>
          <w:b w:val="false"/>
          <w:bCs w:val="false"/>
        </w:rPr>
        <w:t xml:space="preserve">, before the February 14 deadline. </w:t>
      </w:r>
      <w:r>
        <w:rPr>
          <w:b w:val="false"/>
          <w:bCs w:val="false"/>
        </w:rPr>
        <w:t xml:space="preserve">Numbers </w:t>
      </w:r>
      <w:r>
        <w:rPr>
          <w:b w:val="false"/>
          <w:bCs w:val="false"/>
        </w:rPr>
        <w:t>2 and 3</w:t>
      </w:r>
      <w:r>
        <w:rPr/>
        <w:t xml:space="preserve"> should be close to actual Colorado and UCRC positions. </w:t>
      </w:r>
      <w:r>
        <w:rPr/>
        <w:t xml:space="preserve">Numbers </w:t>
      </w:r>
      <w:r>
        <w:rPr/>
        <w:t>1 and 4 are novel and my unconventional wisdom.  My hope is these will also make California, Nevada and Yuma think twice before they go down this dangerous road with CAP.</w:t>
      </w:r>
    </w:p>
    <w:p>
      <w:pPr>
        <w:pStyle w:val="Normal"/>
        <w:spacing w:before="0" w:after="0"/>
        <w:rPr/>
      </w:pPr>
      <w:r>
        <w:rPr/>
      </w:r>
    </w:p>
    <w:p>
      <w:pPr>
        <w:pStyle w:val="Normal"/>
        <w:spacing w:before="0" w:after="0"/>
        <w:rPr/>
      </w:pPr>
      <w:r>
        <w:rPr>
          <w:b/>
          <w:bCs/>
        </w:rPr>
        <w:t>Disclaimer: I am a knowledgeable citizen but I do not speak for Colorado or the UCRC. I am not a lawyer. I am concerned the current doom loop in negotiations will not end well for anyone.</w:t>
      </w:r>
      <w:r>
        <w:rPr/>
        <w:br/>
        <w:br/>
        <w:t xml:space="preserve">1. </w:t>
      </w:r>
      <w:r>
        <w:rPr>
          <w:b/>
          <w:bCs/>
        </w:rPr>
        <w:t>Run of the River(ROTR)</w:t>
      </w:r>
      <w:r>
        <w:rPr/>
        <w:t xml:space="preserve"> in Lake Powell </w:t>
      </w:r>
      <w:r>
        <w:rPr>
          <w:b/>
          <w:bCs/>
        </w:rPr>
        <w:t>when all else fails</w:t>
      </w:r>
      <w:r>
        <w:rPr/>
        <w:t xml:space="preserve">. Turbines will be OK. We are OK with reverting to Long-Range Operating Criteria(LROC) and ROTR if there is no deal. Decoupling from Lower Basin will be wonderful </w:t>
      </w:r>
      <w:r>
        <w:rPr/>
        <w:t>buy t</w:t>
      </w:r>
      <w:r>
        <w:rPr/>
        <w:t xml:space="preserve">here will be litigation. </w:t>
      </w:r>
      <w:r>
        <w:rPr/>
        <w:t xml:space="preserve"> Lower Basin will get </w:t>
      </w:r>
      <w:r>
        <w:rPr>
          <w:b/>
          <w:bCs/>
        </w:rPr>
        <w:t>what the river provides</w:t>
      </w:r>
      <w:r>
        <w:rPr/>
        <w:t xml:space="preserve">, it will be a learning experience for them </w:t>
        <w:br/>
        <w:br/>
        <w:t xml:space="preserve">2. </w:t>
      </w:r>
      <w:r>
        <w:rPr>
          <w:b/>
          <w:bCs/>
        </w:rPr>
        <w:t>Article III(c)</w:t>
      </w:r>
      <w:r>
        <w:rPr/>
        <w:t xml:space="preserve"> – Upper Basin may contest the excessive Arizona interpretation of the Mexico obligation and curtailment based on an 8.25 maf 10 year moving average, a veiled threat, </w:t>
      </w:r>
      <w:r>
        <w:rPr/>
        <w:t>or statement of the obvious,</w:t>
      </w:r>
      <w:r>
        <w:rPr/>
        <w:t xml:space="preserve"> by CAP’s Burman </w:t>
      </w:r>
      <w:r>
        <w:rPr/>
        <w:t>last</w:t>
      </w:r>
      <w:r>
        <w:rPr/>
        <w:t xml:space="preserve"> week. This is the first tripwire which may be tripped by the end of this year or next.</w:t>
        <w:br/>
        <w:br/>
        <w:t xml:space="preserve">3. </w:t>
      </w:r>
      <w:r>
        <w:rPr>
          <w:b/>
          <w:bCs/>
        </w:rPr>
        <w:t>Article III(e)</w:t>
      </w:r>
      <w:r>
        <w:rPr/>
        <w:t xml:space="preserve"> - Upper Basin may contest the excessive Arizona interpretation which was the other basis of the threat used in 2007 to demand 9 MAF releases from Powell</w:t>
        <w:br/>
        <w:br/>
        <w:t xml:space="preserve">4. </w:t>
      </w:r>
      <w:r>
        <w:rPr>
          <w:b/>
          <w:bCs/>
        </w:rPr>
        <w:t>Section 603</w:t>
      </w:r>
      <w:r>
        <w:rPr/>
        <w:t xml:space="preserve"> - Upper Basin may invoke 603 because Arizona has been using the 2007 interim guidelines with “Sweet spot” gaming to crash Lake Powell and to push us into a compact call.</w:t>
      </w:r>
    </w:p>
    <w:p>
      <w:pPr>
        <w:pStyle w:val="Normal"/>
        <w:spacing w:before="0" w:after="0"/>
        <w:rPr/>
      </w:pPr>
      <w:r>
        <w:rPr/>
      </w:r>
    </w:p>
    <w:p>
      <w:pPr>
        <w:pStyle w:val="Normal"/>
        <w:rPr>
          <w:b/>
          <w:b/>
          <w:bCs/>
        </w:rPr>
      </w:pPr>
      <w:r>
        <w:rPr>
          <w:b/>
          <w:bCs/>
        </w:rPr>
        <w:t>Discussed:</w:t>
      </w:r>
    </w:p>
    <w:p>
      <w:pPr>
        <w:pStyle w:val="Normal"/>
        <w:rPr/>
      </w:pPr>
      <w:r>
        <w:rPr/>
        <w:t>1. Gila River Tributary accounting and Article III(b)</w:t>
      </w:r>
    </w:p>
    <w:p>
      <w:pPr>
        <w:pStyle w:val="Normal"/>
        <w:rPr>
          <w:b/>
          <w:b/>
          <w:bCs/>
        </w:rPr>
      </w:pPr>
      <w:r>
        <w:rPr>
          <w:b/>
          <w:bCs/>
        </w:rPr>
        <w:t>No Position Taken:</w:t>
      </w:r>
    </w:p>
    <w:p>
      <w:pPr>
        <w:pStyle w:val="Normal"/>
        <w:rPr/>
      </w:pPr>
      <w:r>
        <w:rPr/>
        <w:t>1. Article III(d) curtailment is not imminent, the Upper Basin argument is well known, I have nothing to add.</w:t>
      </w:r>
    </w:p>
    <w:p>
      <w:pPr>
        <w:pStyle w:val="Normal"/>
        <w:rPr/>
      </w:pPr>
      <w:r>
        <w:rPr/>
      </w:r>
      <w:r>
        <w:br w:type="page"/>
      </w:r>
    </w:p>
    <w:p>
      <w:pPr>
        <w:pStyle w:val="Heading2"/>
        <w:rPr/>
      </w:pPr>
      <w:r>
        <w:rPr/>
        <w:t>Run-of-the-River Operations at Glen Canyon Dam</w:t>
      </w:r>
    </w:p>
    <w:p>
      <w:pPr>
        <w:pStyle w:val="Normal"/>
        <w:spacing w:before="0" w:after="0"/>
        <w:rPr/>
      </w:pPr>
      <w:r>
        <w:rPr/>
      </w:r>
    </w:p>
    <w:p>
      <w:pPr>
        <w:pStyle w:val="Normal"/>
        <w:spacing w:before="0" w:after="0"/>
        <w:rPr/>
      </w:pPr>
      <w:r>
        <w:rPr>
          <w:b/>
          <w:bCs/>
        </w:rPr>
        <w:t>Objective</w:t>
      </w:r>
      <w:r>
        <w:rPr/>
        <w:t xml:space="preserve">: to counter scare mongering with terms like “crashed river”, “dancing with dead pool” and “turbines will stop turning” being used to pressure and rush stakeholders, like Colorado, into accepting deep cuts in </w:t>
      </w:r>
      <w:r>
        <w:rPr/>
        <w:t xml:space="preserve">our Compact water </w:t>
      </w:r>
      <w:r>
        <w:rPr/>
        <w:t>use.</w:t>
      </w:r>
    </w:p>
    <w:p>
      <w:pPr>
        <w:pStyle w:val="Normal"/>
        <w:spacing w:before="0" w:after="0"/>
        <w:rPr/>
      </w:pPr>
      <w:r>
        <w:rPr/>
      </w:r>
    </w:p>
    <w:p>
      <w:pPr>
        <w:pStyle w:val="Normal"/>
        <w:spacing w:before="0" w:after="0"/>
        <w:rPr/>
      </w:pPr>
      <w:r>
        <w:rPr/>
        <w:t>As outlined in this 2024 Technical Memo the Bureau can not risk using bypass tubes to operate the Colorado River below Glen Canyon if they lose the power head at 3490’.</w:t>
      </w:r>
    </w:p>
    <w:p>
      <w:pPr>
        <w:pStyle w:val="Normal"/>
        <w:spacing w:before="0" w:after="0"/>
        <w:rPr/>
      </w:pPr>
      <w:r>
        <w:rPr/>
      </w:r>
    </w:p>
    <w:p>
      <w:pPr>
        <w:pStyle w:val="Normal"/>
        <w:spacing w:before="0" w:after="0"/>
        <w:ind w:left="720" w:hanging="0"/>
        <w:rPr/>
      </w:pPr>
      <w:hyperlink r:id="rId2">
        <w:r>
          <w:rPr>
            <w:rStyle w:val="InternetLink"/>
          </w:rPr>
          <w:t>Establishment of Interim Operating Guidance for Glen Canyon Dam</w:t>
        </w:r>
      </w:hyperlink>
    </w:p>
    <w:p>
      <w:pPr>
        <w:pStyle w:val="Normal"/>
        <w:spacing w:before="0" w:after="0"/>
        <w:ind w:left="720" w:hanging="0"/>
        <w:rPr/>
      </w:pPr>
      <w:r>
        <w:rPr/>
        <w:t>Richard LaFond</w:t>
      </w:r>
    </w:p>
    <w:p>
      <w:pPr>
        <w:pStyle w:val="Normal"/>
        <w:spacing w:before="0" w:after="0"/>
        <w:ind w:left="720" w:hanging="0"/>
        <w:rPr/>
      </w:pPr>
      <w:r>
        <w:rPr/>
        <w:t>Date: 2024.03.27</w:t>
      </w:r>
    </w:p>
    <w:p>
      <w:pPr>
        <w:pStyle w:val="Normal"/>
        <w:spacing w:before="0" w:after="0"/>
        <w:ind w:left="720" w:hanging="0"/>
        <w:rPr/>
      </w:pPr>
      <w:r>
        <w:rPr/>
        <w:t>Director, Technical Service Center</w:t>
      </w:r>
    </w:p>
    <w:p>
      <w:pPr>
        <w:pStyle w:val="Normal"/>
        <w:spacing w:before="0" w:after="0"/>
        <w:rPr/>
      </w:pPr>
      <w:r>
        <w:rPr/>
      </w:r>
    </w:p>
    <w:p>
      <w:pPr>
        <w:pStyle w:val="Normal"/>
        <w:spacing w:before="0" w:after="0"/>
        <w:rPr/>
      </w:pPr>
      <w:r>
        <w:rPr/>
        <w:t>The Bureau already has authority, in fact an obligation, to protect their infrastructure.</w:t>
      </w:r>
    </w:p>
    <w:p>
      <w:pPr>
        <w:pStyle w:val="Normal"/>
        <w:spacing w:before="0" w:after="0"/>
        <w:rPr/>
      </w:pPr>
      <w:r>
        <w:rPr/>
        <w:t xml:space="preserve">Therefor, before Lake Powell loses its power head the Bureau will set a power head elevation they are going to defend, possibly 3510’, Eric Kuhn uses 3500’. </w:t>
      </w:r>
    </w:p>
    <w:p>
      <w:pPr>
        <w:pStyle w:val="Normal"/>
        <w:spacing w:before="0" w:after="0"/>
        <w:rPr/>
      </w:pPr>
      <w:r>
        <w:rPr/>
        <w:br/>
        <w:t>Reservoir coordination with Lake Mead and releases called for in whatever guidelines are in force will end and the Bureau will switch to flow matching on an annualized basis:</w:t>
        <w:br/>
      </w:r>
    </w:p>
    <w:p>
      <w:pPr>
        <w:pStyle w:val="Normal"/>
        <w:spacing w:before="0" w:after="0"/>
        <w:ind w:left="720" w:hanging="0"/>
        <w:rPr/>
      </w:pPr>
      <w:r>
        <w:rPr/>
        <w:t>Outflow = Inflow - Losses</w:t>
      </w:r>
    </w:p>
    <w:p>
      <w:pPr>
        <w:pStyle w:val="Normal"/>
        <w:spacing w:before="0" w:after="0"/>
        <w:ind w:left="0" w:hanging="0"/>
        <w:rPr/>
      </w:pPr>
      <w:r>
        <w:rPr/>
      </w:r>
    </w:p>
    <w:p>
      <w:pPr>
        <w:pStyle w:val="Normal"/>
        <w:spacing w:before="0" w:after="0"/>
        <w:ind w:left="0" w:hanging="0"/>
        <w:rPr/>
      </w:pPr>
      <w:r>
        <w:rPr/>
        <w:t xml:space="preserve">In Glen Canyon, at low head, I think one turbine needs 1,600–2,300 cfs (per Reclamation estimates). This equates to roughly 1.2–1.7 MAF. Another common figure </w:t>
      </w:r>
      <w:r>
        <w:rPr/>
        <w:t xml:space="preserve">used </w:t>
      </w:r>
      <w:r>
        <w:rPr/>
        <w:t xml:space="preserve">is </w:t>
      </w:r>
      <w:r>
        <w:rPr/>
        <w:t xml:space="preserve">a conservative </w:t>
      </w:r>
      <w:r>
        <w:rPr/>
        <w:t>2.3 MAF for one year’s operation.  As spring runoff winds down the Bureau must insure there will be enough water in the lake to reach the start of the next Spring runoff.</w:t>
      </w:r>
    </w:p>
    <w:p>
      <w:pPr>
        <w:pStyle w:val="Normal"/>
        <w:spacing w:before="0" w:after="0"/>
        <w:ind w:left="0" w:hanging="0"/>
        <w:rPr/>
      </w:pPr>
      <w:r>
        <w:rPr/>
      </w:r>
    </w:p>
    <w:p>
      <w:pPr>
        <w:pStyle w:val="Normal"/>
        <w:spacing w:before="0" w:after="0"/>
        <w:ind w:left="0" w:hanging="0"/>
        <w:rPr/>
      </w:pPr>
      <w:r>
        <w:rPr/>
        <w:t>They</w:t>
      </w:r>
      <w:r>
        <w:rPr/>
        <w:t xml:space="preserve"> would hopefully be running 2 or 3 turbines, </w:t>
      </w:r>
      <w:r>
        <w:rPr/>
        <w:t>they</w:t>
      </w:r>
      <w:r>
        <w:rPr/>
        <w:t xml:space="preserve"> can turn a turbine off and on to fine tune the target</w:t>
      </w:r>
    </w:p>
    <w:p>
      <w:pPr>
        <w:pStyle w:val="Normal"/>
        <w:spacing w:before="0" w:after="0"/>
        <w:ind w:left="0" w:hanging="0"/>
        <w:rPr/>
      </w:pPr>
      <w:r>
        <w:rPr/>
        <w:br/>
        <w:t>The river can run like this indefinitely if Bureau ops people are careful. Hopefully there will be no catastrophic crisis which is key here.</w:t>
      </w:r>
    </w:p>
    <w:p>
      <w:pPr>
        <w:pStyle w:val="Normal"/>
        <w:spacing w:before="0" w:after="0"/>
        <w:ind w:left="0" w:hanging="0"/>
        <w:rPr/>
      </w:pPr>
      <w:r>
        <w:rPr/>
      </w:r>
    </w:p>
    <w:p>
      <w:pPr>
        <w:pStyle w:val="Normal"/>
        <w:spacing w:before="0" w:after="0"/>
        <w:ind w:left="0" w:hanging="0"/>
        <w:rPr/>
      </w:pPr>
      <w:r>
        <w:rPr/>
        <w:t>ROTR is included in one DEIS alternative, Maximum Flexibility submitted by the NGO’s.  It predictably performs much better protecting critical elevation than the others. In extreme traces like the one we are in this year critical elevation can still be breached, if the next year’s spring runoff is less than the minimum to operate one turbine.</w:t>
      </w:r>
    </w:p>
    <w:p>
      <w:pPr>
        <w:pStyle w:val="Normal"/>
        <w:spacing w:before="0" w:after="0"/>
        <w:ind w:left="0" w:hanging="0"/>
        <w:rPr/>
      </w:pPr>
      <w:r>
        <w:rPr/>
      </w:r>
    </w:p>
    <w:p>
      <w:pPr>
        <w:pStyle w:val="Normal"/>
        <w:spacing w:before="0" w:after="0"/>
        <w:ind w:left="0" w:hanging="0"/>
        <w:rPr/>
      </w:pPr>
      <w:r>
        <w:rPr/>
        <w:t>It is highly desirable that initial units like Flaming Gorge retain as much usable water as possible so that, in event of a catastrophic inflow year like the current one, power head can be maintained in Lake Powell. This can be justified by protection of infrastructure under coordinated operations.</w:t>
      </w:r>
    </w:p>
    <w:p>
      <w:pPr>
        <w:pStyle w:val="Normal"/>
        <w:spacing w:before="0" w:after="0"/>
        <w:ind w:left="0" w:hanging="0"/>
        <w:rPr/>
      </w:pPr>
      <w:r>
        <w:rPr/>
        <w:br/>
        <w:t>If snow pack improves you can easily revert to guideline releases</w:t>
      </w:r>
    </w:p>
    <w:p>
      <w:pPr>
        <w:pStyle w:val="Normal"/>
        <w:spacing w:before="0" w:after="0"/>
        <w:ind w:left="0" w:hanging="0"/>
        <w:rPr/>
      </w:pPr>
      <w:r>
        <w:rPr/>
        <w:br/>
        <w:t xml:space="preserve">Glen Canyon is generating power and revenue, which is a good thing, though output will be limited by the low power head. </w:t>
      </w:r>
      <w:r>
        <w:rPr/>
        <w:t>This is good.</w:t>
      </w:r>
    </w:p>
    <w:p>
      <w:pPr>
        <w:pStyle w:val="Normal"/>
        <w:spacing w:before="0" w:after="0"/>
        <w:ind w:left="0" w:hanging="0"/>
        <w:rPr/>
      </w:pPr>
      <w:r>
        <w:rPr/>
        <w:br/>
        <w:t>Fish have flows so their bellies aren’t on the bottom of the river :)  Fish experts like Jack Schmidt will need to weigh in on this flow regime.  If bypass tubes are used and they fail after loss of power head flows could be lost in the Grand Canyon imperiling endangered fish.  This is bad.</w:t>
      </w:r>
    </w:p>
    <w:p>
      <w:pPr>
        <w:pStyle w:val="Normal"/>
        <w:spacing w:before="0" w:after="0"/>
        <w:ind w:left="0" w:hanging="0"/>
        <w:rPr/>
      </w:pPr>
      <w:r>
        <w:rPr/>
      </w:r>
    </w:p>
    <w:p>
      <w:pPr>
        <w:pStyle w:val="Normal"/>
        <w:spacing w:before="0" w:after="0"/>
        <w:ind w:left="0" w:hanging="0"/>
        <w:rPr/>
      </w:pPr>
      <w:r>
        <w:rPr/>
      </w:r>
    </w:p>
    <w:p>
      <w:pPr>
        <w:pStyle w:val="Normal"/>
        <w:rPr/>
      </w:pPr>
      <w:r>
        <w:rPr/>
      </w:r>
      <w:r>
        <w:br w:type="page"/>
      </w:r>
    </w:p>
    <w:p>
      <w:pPr>
        <w:pStyle w:val="Heading2"/>
        <w:spacing w:before="0" w:after="0"/>
        <w:rPr/>
      </w:pPr>
      <w:r>
        <w:rPr/>
        <w:t>Article III(c) Interpretation</w:t>
      </w:r>
    </w:p>
    <w:p>
      <w:pPr>
        <w:pStyle w:val="Normal"/>
        <w:spacing w:before="0" w:after="0"/>
        <w:rPr/>
      </w:pPr>
      <w:r>
        <w:rPr>
          <w:b/>
          <w:bCs/>
        </w:rPr>
        <w:t>Objective</w:t>
      </w:r>
      <w:r>
        <w:rPr/>
        <w:t>: Counter Arizona's expansive interpretation of Article III(c) to restore balance</w:t>
      </w:r>
    </w:p>
    <w:p>
      <w:pPr>
        <w:pStyle w:val="Normal"/>
        <w:spacing w:before="0" w:after="0"/>
        <w:rPr/>
      </w:pPr>
      <w:r>
        <w:rPr/>
      </w:r>
    </w:p>
    <w:p>
      <w:pPr>
        <w:pStyle w:val="Normal"/>
        <w:spacing w:before="0" w:after="0"/>
        <w:ind w:left="720" w:hanging="0"/>
        <w:rPr/>
      </w:pPr>
      <w:r>
        <w:rPr/>
        <w:t>“</w:t>
      </w:r>
      <w:r>
        <w:rPr>
          <w:i/>
          <w:iCs/>
        </w:rPr>
        <w:t>We may breach the compact in 2026, and almost certainly it will be breached in 2027…sobering news, it’s something that hasn’t happened before, our Upper Basin neighbors have always met that obligation in the past</w:t>
      </w:r>
      <w:r>
        <w:rPr/>
        <w:t xml:space="preserve">” </w:t>
      </w:r>
    </w:p>
    <w:p>
      <w:pPr>
        <w:pStyle w:val="Normal"/>
        <w:spacing w:before="0" w:after="0"/>
        <w:ind w:left="720" w:hanging="0"/>
        <w:rPr/>
      </w:pPr>
      <w:r>
        <w:rPr/>
        <w:t>Brenda Burman, General Manager, Central Arizona Project</w:t>
      </w:r>
    </w:p>
    <w:p>
      <w:pPr>
        <w:pStyle w:val="Normal"/>
        <w:spacing w:before="0" w:after="0"/>
        <w:rPr/>
      </w:pPr>
      <w:r>
        <w:rPr/>
        <w:br/>
        <w:t>Burman is talking about breaching Arizona’s interpretation of the compact which includes half of the Article III(c) Mexico obligation on top of Articles III(d)’s 7.5 MAF so 8.25 MAF over a 10 year moving average. Colorado doesn’t recognize this interpretation.</w:t>
      </w:r>
    </w:p>
    <w:p>
      <w:pPr>
        <w:pStyle w:val="Normal"/>
        <w:spacing w:before="0" w:after="0"/>
        <w:rPr/>
      </w:pPr>
      <w:r>
        <w:rPr/>
        <w:br/>
        <w:t>The issue is how you define surplus water to satisfy the Mexico obligation in normal times. If there is 9 maf available in a year 7.5 + 1.5 for Mexico there is no deficiency. Less than that there is, and both basins have to supply half of 1.5. Where does the LB half come from? Arizona documented there position in this paper in 2007:</w:t>
      </w:r>
    </w:p>
    <w:p>
      <w:pPr>
        <w:pStyle w:val="Normal"/>
        <w:spacing w:before="0" w:after="0"/>
        <w:rPr/>
      </w:pPr>
      <w:r>
        <w:rPr/>
      </w:r>
    </w:p>
    <w:p>
      <w:pPr>
        <w:pStyle w:val="Normal"/>
        <w:spacing w:before="0" w:after="0"/>
        <w:ind w:left="720" w:hanging="0"/>
        <w:rPr/>
      </w:pPr>
      <w:hyperlink r:id="rId3">
        <w:r>
          <w:rPr>
            <w:rStyle w:val="InternetLink"/>
          </w:rPr>
          <w:t>From a Colorado River Compact Challenge to the Next Era of Cooperation Among Seven Basin States</w:t>
        </w:r>
      </w:hyperlink>
    </w:p>
    <w:p>
      <w:pPr>
        <w:pStyle w:val="Normal"/>
        <w:spacing w:before="0" w:after="0"/>
        <w:ind w:left="720" w:hanging="0"/>
        <w:rPr/>
      </w:pPr>
      <w:r>
        <w:rPr/>
        <w:t xml:space="preserve">49 Ariz. L. Rev. 217 (2007) </w:t>
      </w:r>
    </w:p>
    <w:p>
      <w:pPr>
        <w:pStyle w:val="Normal"/>
        <w:spacing w:before="0" w:after="0"/>
        <w:ind w:left="720" w:hanging="0"/>
        <w:rPr/>
      </w:pPr>
      <w:r>
        <w:rPr/>
        <w:t xml:space="preserve">W. Patrick Schiffer, Herbert R. Guenther &amp; Thomas G. Carr </w:t>
      </w:r>
    </w:p>
    <w:p>
      <w:pPr>
        <w:pStyle w:val="Normal"/>
        <w:spacing w:before="0" w:after="0"/>
        <w:rPr/>
      </w:pPr>
      <w:r>
        <w:rPr/>
        <w:br/>
        <w:t>The “surplus” water to satisfy Mexico’s allocation under Article III(c) of the 1922 Colorado River Compact does not have to come through Lee’s Ferry each and every year. It can (and in practice does) draw from stored surplus in Lake Mead, including water delivered in big-release years like the 2011 equalization.</w:t>
        <w:br/>
        <w:t>So as long as there is extra water in Mead for III(c) does that mean there is no deficiency. If so 8.25 isn’t the basis for a call?</w:t>
      </w:r>
    </w:p>
    <w:p>
      <w:pPr>
        <w:pStyle w:val="Normal"/>
        <w:numPr>
          <w:ilvl w:val="0"/>
          <w:numId w:val="7"/>
        </w:numPr>
        <w:spacing w:before="0" w:after="0"/>
        <w:rPr/>
      </w:pPr>
      <w:r>
        <w:rPr/>
        <w:t>The classic compact equation is paragraphs (a) + (b) = 16 MAF of apportioned consumptive use (7.5 MAF Upper + 7.5 MAF Lower + 1 MAF extra to Lower). It makes no sense today, Neither Upper basin use or entitlement are 7.5 MAF, III(b) water does not exist.</w:t>
      </w:r>
    </w:p>
    <w:p>
      <w:pPr>
        <w:pStyle w:val="Normal"/>
        <w:numPr>
          <w:ilvl w:val="0"/>
          <w:numId w:val="7"/>
        </w:numPr>
        <w:spacing w:before="0" w:after="0"/>
        <w:rPr/>
      </w:pPr>
      <w:r>
        <w:rPr/>
        <w:t>Today’s apportioned consumptive use  equation is either this:</w:t>
      </w:r>
    </w:p>
    <w:p>
      <w:pPr>
        <w:pStyle w:val="Normal"/>
        <w:numPr>
          <w:ilvl w:val="0"/>
          <w:numId w:val="0"/>
        </w:numPr>
        <w:spacing w:before="0" w:after="0"/>
        <w:ind w:left="227" w:hanging="0"/>
        <w:rPr/>
      </w:pPr>
      <w:r>
        <w:rPr/>
      </w:r>
    </w:p>
    <w:p>
      <w:pPr>
        <w:pStyle w:val="Normal"/>
        <w:numPr>
          <w:ilvl w:val="0"/>
          <w:numId w:val="0"/>
        </w:numPr>
        <w:spacing w:before="0" w:after="0"/>
        <w:ind w:left="454" w:hanging="0"/>
        <w:rPr/>
      </w:pPr>
      <w:r>
        <w:rPr/>
        <w:t>7.5 MAF Lower + 1 MAF extra to Lower = 8.5 MAF</w:t>
      </w:r>
    </w:p>
    <w:p>
      <w:pPr>
        <w:pStyle w:val="Normal"/>
        <w:spacing w:before="0" w:after="0"/>
        <w:ind w:left="720" w:hanging="0"/>
        <w:rPr/>
      </w:pPr>
      <w:r>
        <w:rPr/>
        <w:t>or</w:t>
      </w:r>
    </w:p>
    <w:p>
      <w:pPr>
        <w:pStyle w:val="Normal"/>
        <w:numPr>
          <w:ilvl w:val="0"/>
          <w:numId w:val="0"/>
        </w:numPr>
        <w:spacing w:before="0" w:after="0"/>
        <w:ind w:left="454" w:hanging="0"/>
        <w:rPr/>
      </w:pPr>
      <w:r>
        <w:rPr/>
        <w:t>7.5 MAF Lower</w:t>
      </w:r>
    </w:p>
    <w:p>
      <w:pPr>
        <w:pStyle w:val="Normal"/>
        <w:numPr>
          <w:ilvl w:val="0"/>
          <w:numId w:val="0"/>
        </w:numPr>
        <w:spacing w:before="0" w:after="0"/>
        <w:ind w:left="454" w:hanging="0"/>
        <w:rPr/>
      </w:pPr>
      <w:r>
        <w:rPr/>
      </w:r>
    </w:p>
    <w:p>
      <w:pPr>
        <w:pStyle w:val="Normal"/>
        <w:numPr>
          <w:ilvl w:val="0"/>
          <w:numId w:val="7"/>
        </w:numPr>
        <w:spacing w:before="0" w:after="0"/>
        <w:rPr/>
      </w:pPr>
      <w:r>
        <w:rPr/>
        <w:t>Mexico’s 1.5 MAF (per the 1944 Treaty) comes first from any system-wide surplus above that 7.5 MAF or 8.5 MAF.</w:t>
      </w:r>
    </w:p>
    <w:p>
      <w:pPr>
        <w:pStyle w:val="Normal"/>
        <w:numPr>
          <w:ilvl w:val="0"/>
          <w:numId w:val="7"/>
        </w:numPr>
        <w:spacing w:before="0" w:after="0"/>
        <w:rPr/>
      </w:pPr>
      <w:r>
        <w:rPr/>
        <w:t>Only if that surplus is insufficient does a “deficiency” arise — and only then does the Compact explicitly require the Upper Division to deliver extra water at Lee’s Ferry (half the shortfall, on top of the 75 MAF/10-year minimum in III(d)).</w:t>
      </w:r>
    </w:p>
    <w:p>
      <w:pPr>
        <w:pStyle w:val="Normal"/>
        <w:spacing w:before="0" w:after="0"/>
        <w:rPr/>
      </w:pPr>
      <w:r>
        <w:rPr/>
        <w:br/>
        <w:t>The Compact never says the surplus portion itself must pass Lee’s Ferry in the same year it is used for Mexico. Surplus is a system-wide concept — water in the Colorado River System not consumed by the apportioned uses in the two basins. Once water reaches the Lower Basin (whether via Lee’s Ferry that year, Lower Basin tributaries, or releases from storage), it can be part of the “surplus” pool.</w:t>
      </w:r>
    </w:p>
    <w:p>
      <w:pPr>
        <w:pStyle w:val="Normal"/>
        <w:spacing w:before="0" w:after="0"/>
        <w:rPr/>
      </w:pPr>
      <w:r>
        <w:rPr/>
        <w:br/>
        <w:t>In wet years or equalization operations (like 2011, when Lake Powell was spilling and the two reservoirs were deliberately rebalanced), extra water is released from Powell → through Lee’s Ferry → into Lake Mead. That water becomes stored surplus in Mead.</w:t>
        <w:br/>
        <w:t>In a later year, when natural inflows are lower and Lee’s Ferry releases are at or near the minimum objective (currently ~8.23 MAF/year under the Long-Range Operating Criteria, which already bakes in 0.75 MAF as the Upper Basin’s presumed share of Mexico), operators can still release water from Mead’s storage to meet Mexico’s full 1.5 MAF (and Lower Basin demands) without triggering a Compact “deficiency.” That stored water originated as surplus and was carried forward.</w:t>
      </w:r>
    </w:p>
    <w:p>
      <w:pPr>
        <w:pStyle w:val="Normal"/>
        <w:spacing w:before="0" w:after="0"/>
        <w:rPr/>
      </w:pPr>
      <w:r>
        <w:rPr/>
        <w:br/>
        <w:t>This is exactly how the system has functioned for decades: reservoirs (Powell + Mead) act as a multi-year buffer. The Compact’s surplus/deficiency test is not a strict annual accounting that ignores storage; it’s a broader recognition that the river is regulated by large reservoirs. If the basins could only use “this year’s” surplus through Lee’s Ferry, the entire storage-and-carryover regime that has kept Mexico whole since 1944 would be illegal — which it obviously isn’t.</w:t>
      </w:r>
    </w:p>
    <w:p>
      <w:pPr>
        <w:pStyle w:val="Normal"/>
        <w:spacing w:before="0" w:after="0"/>
        <w:rPr/>
      </w:pPr>
      <w:r>
        <w:rPr/>
        <w:br/>
      </w:r>
      <w:r>
        <w:rPr>
          <w:b/>
          <w:bCs/>
        </w:rPr>
        <w:t>Bottom line</w:t>
      </w:r>
    </w:p>
    <w:p>
      <w:pPr>
        <w:pStyle w:val="Normal"/>
        <w:numPr>
          <w:ilvl w:val="0"/>
          <w:numId w:val="7"/>
        </w:numPr>
        <w:spacing w:before="0" w:after="0"/>
        <w:rPr/>
      </w:pPr>
      <w:r>
        <w:rPr/>
        <w:t>Surplus water for Mexico → can be (and is) supplied from Lake Mead storage that accumulated in big years.</w:t>
      </w:r>
    </w:p>
    <w:p>
      <w:pPr>
        <w:pStyle w:val="Normal"/>
        <w:numPr>
          <w:ilvl w:val="0"/>
          <w:numId w:val="7"/>
        </w:numPr>
        <w:spacing w:before="0" w:after="0"/>
        <w:rPr/>
      </w:pPr>
      <w:r>
        <w:rPr/>
        <w:t>Deficiency share → triggers Lee’s Ferry delivery obligation from the Upper Basin.</w:t>
      </w:r>
    </w:p>
    <w:p>
      <w:pPr>
        <w:pStyle w:val="Normal"/>
        <w:numPr>
          <w:ilvl w:val="0"/>
          <w:numId w:val="7"/>
        </w:numPr>
        <w:spacing w:before="0" w:after="0"/>
        <w:rPr/>
      </w:pPr>
      <w:r>
        <w:rPr/>
        <w:t>The Compact draws a clear distinction between the two. The surplus clause does not contain a Lee’s Ferry requirement; only the deficiency clause does.</w:t>
      </w:r>
    </w:p>
    <w:p>
      <w:pPr>
        <w:pStyle w:val="Normal"/>
        <w:spacing w:before="0" w:after="0"/>
        <w:rPr/>
      </w:pPr>
      <w:r>
        <w:rPr/>
        <w:br/>
        <w:t>So yes — surplus stored in Mead from years like 2011 can satisfy Mexico without creating a deficiency that forces extra Upper Basin deliveries at Lee’s Ferry in a subsequent dry year. That’s how the “Law of the River” has always worked in practice.</w:t>
      </w:r>
    </w:p>
    <w:p>
      <w:pPr>
        <w:pStyle w:val="Normal"/>
        <w:spacing w:before="0" w:after="0"/>
        <w:rPr/>
      </w:pPr>
      <w:r>
        <w:rPr/>
      </w:r>
    </w:p>
    <w:p>
      <w:pPr>
        <w:pStyle w:val="Normal"/>
        <w:spacing w:before="0" w:after="0"/>
        <w:rPr>
          <w:b/>
          <w:b/>
          <w:bCs/>
        </w:rPr>
      </w:pPr>
      <w:r>
        <w:rPr>
          <w:b/>
          <w:bCs/>
        </w:rPr>
        <w:t>An Open Question</w:t>
      </w:r>
    </w:p>
    <w:p>
      <w:pPr>
        <w:pStyle w:val="Normal"/>
        <w:spacing w:before="0" w:after="0"/>
        <w:rPr/>
      </w:pPr>
      <w:r>
        <w:rPr>
          <w:b/>
          <w:bCs/>
        </w:rPr>
        <w:t xml:space="preserve">In event of an actual deficiency where does the Lower Basin’s half of the III(c) obligation come from?  </w:t>
      </w:r>
    </w:p>
    <w:p>
      <w:pPr>
        <w:pStyle w:val="Normal"/>
        <w:numPr>
          <w:ilvl w:val="0"/>
          <w:numId w:val="7"/>
        </w:numPr>
        <w:spacing w:before="0" w:after="0"/>
        <w:rPr>
          <w:b w:val="false"/>
          <w:b w:val="false"/>
          <w:bCs w:val="false"/>
        </w:rPr>
      </w:pPr>
      <w:r>
        <w:rPr>
          <w:b w:val="false"/>
          <w:bCs w:val="false"/>
        </w:rPr>
        <w:t>highly variable Grand Canyon tributaries which offsets Lake Mead evaporation,</w:t>
      </w:r>
    </w:p>
    <w:p>
      <w:pPr>
        <w:pStyle w:val="Normal"/>
        <w:numPr>
          <w:ilvl w:val="0"/>
          <w:numId w:val="7"/>
        </w:numPr>
        <w:spacing w:before="0" w:after="0"/>
        <w:rPr>
          <w:b w:val="false"/>
          <w:b w:val="false"/>
          <w:bCs w:val="false"/>
        </w:rPr>
      </w:pPr>
      <w:r>
        <w:rPr>
          <w:b w:val="false"/>
          <w:bCs w:val="false"/>
        </w:rPr>
        <w:t>the Lower Basin’s 7.5 MAF</w:t>
      </w:r>
    </w:p>
    <w:p>
      <w:pPr>
        <w:pStyle w:val="Normal"/>
        <w:numPr>
          <w:ilvl w:val="0"/>
          <w:numId w:val="7"/>
        </w:numPr>
        <w:spacing w:before="0" w:after="0"/>
        <w:rPr/>
      </w:pPr>
      <w:r>
        <w:rPr>
          <w:b w:val="false"/>
          <w:bCs w:val="false"/>
        </w:rPr>
        <w:t>Wellton Mohawk toxic return flows which would have to be taken from Cienega and be desalinated</w:t>
      </w:r>
      <w:r>
        <w:br w:type="page"/>
      </w:r>
    </w:p>
    <w:p>
      <w:pPr>
        <w:pStyle w:val="Heading2"/>
        <w:rPr/>
      </w:pPr>
      <w:r>
        <w:rPr/>
        <w:t>Article III(e) Interpretation</w:t>
      </w:r>
    </w:p>
    <w:p>
      <w:pPr>
        <w:pStyle w:val="Normal"/>
        <w:spacing w:before="0" w:after="0"/>
        <w:rPr/>
      </w:pPr>
      <w:r>
        <w:rPr>
          <w:b/>
          <w:bCs/>
        </w:rPr>
        <w:t>Objective</w:t>
      </w:r>
      <w:r>
        <w:rPr/>
        <w:t>: Counter Arizona's expansive interpretation of Article III(e) to restore balance</w:t>
      </w:r>
    </w:p>
    <w:p>
      <w:pPr>
        <w:pStyle w:val="Normal"/>
        <w:spacing w:before="0" w:after="0"/>
        <w:ind w:left="720" w:hanging="0"/>
        <w:rPr/>
      </w:pPr>
      <w:r>
        <w:rPr/>
        <w:br/>
        <w:t>“</w:t>
      </w:r>
      <w:r>
        <w:rPr>
          <w:i/>
          <w:iCs/>
        </w:rPr>
        <w:t>The States of the Upper Division shall not withhold water, and the States of the Lower Division shall not require the delivery of water, which cannot reasonably be applied to domestic and agricultural uses</w:t>
      </w:r>
      <w:r>
        <w:rPr/>
        <w:t>.”</w:t>
      </w:r>
    </w:p>
    <w:p>
      <w:pPr>
        <w:pStyle w:val="Normal"/>
        <w:spacing w:before="0" w:after="0"/>
        <w:rPr/>
      </w:pPr>
      <w:r>
        <w:rPr/>
        <w:br/>
        <w:t>This provision is deliberately symmetrical and conditional. The qualifying clause—“which cannot reasonably be applied to domestic and agricultural uses”—applies equally to both prohibitions. It does not create an unqualified duty for the Upper Basin to release water on demand, nor does it grant the Lower Basin an unrestricted right to call for deliveries. Instead, it imposes reciprocal restraints to prevent waste or unreasonable interference during the basins’ respective development phases.</w:t>
      </w:r>
    </w:p>
    <w:p>
      <w:pPr>
        <w:pStyle w:val="Normal"/>
        <w:spacing w:before="0" w:after="0"/>
        <w:rPr/>
      </w:pPr>
      <w:r>
        <w:rPr/>
        <w:br/>
        <w:t>During the 1922 negotiations (led by Herbert Hoover as federal representative), Upper Basin delegates (from Colorado, New Mexico, Utah, and Wyoming) expressed significant concern that Lower Basin states—particularly California, with its rapid development and access to storage at Hoover Dam (authorized later)—might use prior appropriation principles or storage infrastructure to make premature “calls” on water before Upper Basin states could fully develop their apportioned uses. The Upper Basin, where most runoff originates but infrastructure lagged, feared that such calls would impair their future consumptive uses.</w:t>
      </w:r>
    </w:p>
    <w:p>
      <w:pPr>
        <w:pStyle w:val="Normal"/>
        <w:spacing w:before="0" w:after="0"/>
        <w:rPr/>
      </w:pPr>
      <w:r>
        <w:rPr/>
        <w:br/>
        <w:t xml:space="preserve">Article III(e) emerged as a compromise to address this asymmetry: </w:t>
      </w:r>
    </w:p>
    <w:p>
      <w:pPr>
        <w:pStyle w:val="Normal"/>
        <w:numPr>
          <w:ilvl w:val="0"/>
          <w:numId w:val="7"/>
        </w:numPr>
        <w:spacing w:before="0" w:after="0"/>
        <w:rPr/>
      </w:pPr>
      <w:r>
        <w:rPr/>
        <w:t xml:space="preserve">It protected the Upper Basin by prohibiting Lower Basin demands for water that the Upper Basin could reasonably apply to its own domestic and agricultural needs (e.g., storing water in future reservoirs like Powell for later use). </w:t>
      </w:r>
    </w:p>
    <w:p>
      <w:pPr>
        <w:pStyle w:val="Normal"/>
        <w:numPr>
          <w:ilvl w:val="0"/>
          <w:numId w:val="7"/>
        </w:numPr>
        <w:spacing w:before="0" w:after="0"/>
        <w:rPr/>
      </w:pPr>
      <w:r>
        <w:rPr/>
        <w:t xml:space="preserve">Simultaneously, it restrained the Upper Basin from indefinitely hoarding water that served no beneficial purpose and could be used downstream. </w:t>
      </w:r>
    </w:p>
    <w:p>
      <w:pPr>
        <w:pStyle w:val="Normal"/>
        <w:numPr>
          <w:ilvl w:val="0"/>
          <w:numId w:val="7"/>
        </w:numPr>
        <w:spacing w:before="0" w:after="0"/>
        <w:rPr/>
      </w:pPr>
      <w:r>
        <w:rPr/>
        <w:t>The clause was not intended as a broad delivery obligation or equity-forcing mechanism but as a pragmatic “safety valve” to promote interstate comity, avoid waste, and facilitate development without one basin unduly hindering the other.</w:t>
      </w:r>
    </w:p>
    <w:p>
      <w:pPr>
        <w:pStyle w:val="Normal"/>
        <w:spacing w:before="0" w:after="0"/>
        <w:rPr/>
      </w:pPr>
      <w:r>
        <w:rPr/>
        <w:br/>
        <w:t>This intent is reflected in the Compact’s preamble, which emphasizes equitable division, protection from floods, and expeditious agricultural/industrial development. The provision’s narrow focus—limited to “domestic and agricultural uses” (excluding power generation or other purposes)—further underscores its restraint-oriented design rather than an expansive release requirement.</w:t>
      </w:r>
    </w:p>
    <w:p>
      <w:pPr>
        <w:pStyle w:val="Normal"/>
        <w:spacing w:before="0" w:after="0"/>
        <w:rPr/>
      </w:pPr>
      <w:r>
        <w:rPr/>
        <w:br/>
        <w:t xml:space="preserve">Subsequent legislation and operations reinforce this interpretation: </w:t>
      </w:r>
    </w:p>
    <w:p>
      <w:pPr>
        <w:pStyle w:val="Normal"/>
        <w:numPr>
          <w:ilvl w:val="0"/>
          <w:numId w:val="7"/>
        </w:numPr>
        <w:spacing w:before="0" w:after="0"/>
        <w:rPr/>
      </w:pPr>
      <w:r>
        <w:rPr/>
        <w:t xml:space="preserve">The Colorado River Basin Project Act of 1968 (Section 602(a)) explicitly conditions releases from Lake Powell for Lower Basin beneficial use under III(e) on specific criteria, such as Powell storage exceeding Mead storage and no impairment of Upper Basin consumptive uses. This subordinates III(e) to the Compact’s core apportionments (III(a), (b), (d)) and protects Upper Basin development. </w:t>
      </w:r>
    </w:p>
    <w:p>
      <w:pPr>
        <w:pStyle w:val="Normal"/>
        <w:numPr>
          <w:ilvl w:val="0"/>
          <w:numId w:val="7"/>
        </w:numPr>
        <w:spacing w:before="0" w:after="0"/>
        <w:rPr/>
      </w:pPr>
      <w:r>
        <w:rPr/>
        <w:t xml:space="preserve">Long-Range Operating Criteria and post-2007 guidelines incorporate III(e) in a limited, conditional manner, consistent with its reciprocal nature. </w:t>
      </w:r>
    </w:p>
    <w:p>
      <w:pPr>
        <w:pStyle w:val="Normal"/>
        <w:numPr>
          <w:ilvl w:val="0"/>
          <w:numId w:val="7"/>
        </w:numPr>
        <w:spacing w:before="0" w:after="0"/>
        <w:rPr/>
      </w:pPr>
      <w:r>
        <w:rPr/>
        <w:t>Upper Basin analyses (e.g., from the Upper Colorado River Commission, experts like Eric Kuhn, and historical reviews) consistently frame III(e) as a safeguard for Upper Basin growth, not a tool to compel releases that could shift disproportionate burdens (e.g, for the Mexican Treaty under III(c)).</w:t>
      </w:r>
    </w:p>
    <w:p>
      <w:pPr>
        <w:pStyle w:val="Normal"/>
        <w:spacing w:before="0" w:after="0"/>
        <w:rPr/>
      </w:pPr>
      <w:r>
        <w:rPr/>
        <w:br/>
        <w:t>In Upper Basin rebuttals, attempts to expand III(e) beyond this narrow, mutual framework—such as using it to mandate releases for Mexican Treaty deficiencies or to prioritize Lower Basin access to stored water—are viewed as contrary to the negotiated balance. The provision was crafted to preserve each basin’s exclusive beneficial consumptive use (per III(a)) while preventing abuse, not to override volumetric obligations or create new priorities.</w:t>
      </w:r>
    </w:p>
    <w:p>
      <w:pPr>
        <w:pStyle w:val="Normal"/>
        <w:spacing w:before="0" w:after="0"/>
        <w:rPr/>
      </w:pPr>
      <w:r>
        <w:rPr/>
        <w:br/>
        <w:t>The Guenther Schiffer paper’s emphasis on Upper Basin non-withholding as a broad duty to release usable water is seen as reading the clause one-sidedly, ignoring its symmetry and the Compact’s overall grant of “exclusive beneficial consumptive use” to each basin under Article III(a).</w:t>
      </w:r>
    </w:p>
    <w:p>
      <w:pPr>
        <w:pStyle w:val="Normal"/>
        <w:spacing w:before="0" w:after="0"/>
        <w:rPr/>
      </w:pPr>
      <w:r>
        <w:rPr/>
        <w:br/>
        <w:t xml:space="preserve">The Schiffer paper links III(e) to mandatory Upper Basin releases to meet half the Mexican obligation in deficiency years, arguing that withholding would cause unjustified Lower Basin shortages. Upper Basin rebuttal: </w:t>
      </w:r>
    </w:p>
    <w:p>
      <w:pPr>
        <w:pStyle w:val="Normal"/>
        <w:numPr>
          <w:ilvl w:val="0"/>
          <w:numId w:val="7"/>
        </w:numPr>
        <w:spacing w:before="0" w:after="0"/>
        <w:rPr/>
      </w:pPr>
      <w:r>
        <w:rPr/>
        <w:t xml:space="preserve">Article III(c) already contains the precise sharing rule (first from surplus; then equal burden; Upper delivers half-deficiency at Lee Ferry “whenever necessary” in addition to III(d)). III(e) adds no extra obligation. </w:t>
      </w:r>
    </w:p>
    <w:p>
      <w:pPr>
        <w:pStyle w:val="Normal"/>
        <w:numPr>
          <w:ilvl w:val="0"/>
          <w:numId w:val="7"/>
        </w:numPr>
        <w:spacing w:before="0" w:after="0"/>
        <w:rPr/>
      </w:pPr>
      <w:r>
        <w:rPr/>
        <w:t xml:space="preserve">Upper Basin’s preferred reading of “surplus” in III(c) is basin-specific: if the Lower Basin is already using &gt;8.5 maf (its III(a)+(b) apportionment, including tributaries per Upper Basic view), that excess is the surplus first applied to Mexico, relieving Upper Basin of deficiency sharing. </w:t>
      </w:r>
    </w:p>
    <w:p>
      <w:pPr>
        <w:pStyle w:val="Normal"/>
        <w:numPr>
          <w:ilvl w:val="0"/>
          <w:numId w:val="7"/>
        </w:numPr>
        <w:spacing w:before="0" w:after="0"/>
        <w:rPr/>
      </w:pPr>
      <w:r>
        <w:rPr/>
        <w:t xml:space="preserve">Forcing additional releases under III(e) to cover Mexico would impair Upper Basin’s own future uses, violating the “without impairment of annual consumptive uses in the upper basin” language in CRBPA §602(a)(3). </w:t>
      </w:r>
    </w:p>
    <w:p>
      <w:pPr>
        <w:pStyle w:val="Normal"/>
        <w:spacing w:before="0" w:after="0"/>
        <w:rPr/>
      </w:pPr>
      <w:r>
        <w:rPr/>
      </w:r>
    </w:p>
    <w:p>
      <w:pPr>
        <w:pStyle w:val="Normal"/>
        <w:spacing w:before="0" w:after="0"/>
        <w:rPr/>
      </w:pPr>
      <w:r>
        <w:rPr/>
        <w:t xml:space="preserve">This is the exact position the Upper Division Governors’ Representatives took in their </w:t>
      </w:r>
      <w:hyperlink r:id="rId4">
        <w:r>
          <w:rPr>
            <w:rStyle w:val="InternetLink"/>
          </w:rPr>
          <w:t>2004 letter</w:t>
        </w:r>
      </w:hyperlink>
      <w:r>
        <w:rPr/>
        <w:t xml:space="preserve"> (the trigger for the Schiffer paper) and that Upper Basin entities have reiterated in post-2007 Guidelines, Drought Contingency Plan, and post-2026 negotiations.</w:t>
      </w:r>
    </w:p>
    <w:p>
      <w:pPr>
        <w:pStyle w:val="Normal"/>
        <w:rPr/>
      </w:pPr>
      <w:r>
        <w:rPr/>
      </w:r>
    </w:p>
    <w:p>
      <w:pPr>
        <w:pStyle w:val="Normal"/>
        <w:rPr>
          <w:b/>
          <w:b/>
          <w:bCs/>
        </w:rPr>
      </w:pPr>
      <w:r>
        <w:rPr>
          <w:b/>
          <w:bCs/>
        </w:rPr>
        <w:t>It is a near certainty that Lower Basin, especially Arizona’s, taking delivery of water from reservoirs in the 90’s, and probably continuing today, for long term storage in its aquifers and contributing to the current crisis in Lake Powell is a direct and unambiguous violation of Article III(e).</w:t>
      </w:r>
      <w:r>
        <w:br w:type="page"/>
      </w:r>
    </w:p>
    <w:p>
      <w:pPr>
        <w:pStyle w:val="Heading2"/>
        <w:rPr/>
      </w:pPr>
      <w:r>
        <w:rPr/>
        <w:br/>
        <w:t>Section 603</w:t>
      </w:r>
    </w:p>
    <w:p>
      <w:pPr>
        <w:pStyle w:val="Normal"/>
        <w:spacing w:before="0" w:after="0"/>
        <w:rPr/>
      </w:pPr>
      <w:r>
        <w:rPr>
          <w:b/>
          <w:bCs/>
        </w:rPr>
        <w:t>Objective</w:t>
      </w:r>
      <w:r>
        <w:rPr/>
        <w:t>: Based on Arizona’s misinterpretation of Article III(c) and the Eric Kuhn et al “Tripwire” paper there is a plausible case for Colorado to invoke Section 603, Federal law in the 1968 CRBPA that authorized CAP</w:t>
      </w:r>
    </w:p>
    <w:p>
      <w:pPr>
        <w:pStyle w:val="Normal"/>
        <w:spacing w:before="0" w:after="0"/>
        <w:rPr/>
      </w:pPr>
      <w:r>
        <w:rPr/>
      </w:r>
    </w:p>
    <w:p>
      <w:pPr>
        <w:pStyle w:val="Normal"/>
        <w:spacing w:before="0" w:after="0"/>
        <w:rPr/>
      </w:pPr>
      <w:r>
        <w:rPr/>
        <w:t>A credible legal argument can be made that this sequence:</w:t>
      </w:r>
    </w:p>
    <w:p>
      <w:pPr>
        <w:pStyle w:val="Normal"/>
        <w:spacing w:before="0" w:after="0"/>
        <w:rPr/>
      </w:pPr>
      <w:r>
        <w:rPr/>
      </w:r>
    </w:p>
    <w:p>
      <w:pPr>
        <w:pStyle w:val="Normal"/>
        <w:numPr>
          <w:ilvl w:val="0"/>
          <w:numId w:val="7"/>
        </w:numPr>
        <w:spacing w:before="0" w:after="0"/>
        <w:rPr/>
      </w:pPr>
      <w:r>
        <w:rPr/>
        <w:t>the 2007 Interim Guidelines’ treatment of Compact Article III(c)</w:t>
      </w:r>
    </w:p>
    <w:p>
      <w:pPr>
        <w:pStyle w:val="Normal"/>
        <w:numPr>
          <w:ilvl w:val="0"/>
          <w:numId w:val="7"/>
        </w:numPr>
        <w:spacing w:before="0" w:after="0"/>
        <w:rPr/>
      </w:pPr>
      <w:r>
        <w:rPr/>
        <w:t xml:space="preserve">CAP’s exploitation of the operational “sweet spot,” </w:t>
      </w:r>
    </w:p>
    <w:p>
      <w:pPr>
        <w:pStyle w:val="Normal"/>
        <w:numPr>
          <w:ilvl w:val="0"/>
          <w:numId w:val="7"/>
        </w:numPr>
        <w:spacing w:before="0" w:after="0"/>
        <w:rPr/>
      </w:pPr>
      <w:r>
        <w:rPr/>
        <w:t>the resulting 9 MAF Powell releases in 2015–2019</w:t>
      </w:r>
    </w:p>
    <w:p>
      <w:pPr>
        <w:pStyle w:val="Normal"/>
        <w:numPr>
          <w:ilvl w:val="0"/>
          <w:numId w:val="7"/>
        </w:numPr>
        <w:spacing w:before="0" w:after="0"/>
        <w:rPr/>
      </w:pPr>
      <w:r>
        <w:rPr/>
        <w:t>the subsequent drop to ~7.5–8.23 MAF releases today</w:t>
      </w:r>
    </w:p>
    <w:p>
      <w:pPr>
        <w:pStyle w:val="Normal"/>
        <w:spacing w:before="0" w:after="0"/>
        <w:rPr/>
      </w:pPr>
      <w:r>
        <w:rPr/>
        <w:br/>
        <w:t>has prejudiced Upper Basin rights in violation of Section 603(a) of the 1968 Colorado River Basin Project Act (CRBPA), especially if it forces Upper Basin curtailment.</w:t>
      </w:r>
    </w:p>
    <w:p>
      <w:pPr>
        <w:pStyle w:val="Normal"/>
        <w:spacing w:before="0" w:after="0"/>
        <w:rPr/>
      </w:pPr>
      <w:r>
        <w:rPr/>
        <w:br/>
      </w:r>
      <w:hyperlink r:id="rId5">
        <w:r>
          <w:rPr>
            <w:rStyle w:val="InternetLink"/>
          </w:rPr>
          <w:t>Section 603(a), CRBPA (Pub. L. 90-537, 82 Stat. 885, 901):</w:t>
        </w:r>
      </w:hyperlink>
    </w:p>
    <w:p>
      <w:pPr>
        <w:pStyle w:val="Normal"/>
        <w:spacing w:before="0" w:after="0"/>
        <w:rPr/>
      </w:pPr>
      <w:r>
        <w:rPr/>
      </w:r>
    </w:p>
    <w:p>
      <w:pPr>
        <w:pStyle w:val="Normal"/>
        <w:spacing w:before="0" w:after="0"/>
        <w:ind w:left="720" w:hanging="0"/>
        <w:rPr/>
      </w:pPr>
      <w:r>
        <w:rPr/>
        <w:t xml:space="preserve"> “</w:t>
      </w:r>
      <w:r>
        <w:rPr>
          <w:i/>
          <w:iCs/>
        </w:rPr>
        <w:t>Rights of the upper basin to the consumptive use of water available to that basin from the Colorado River system under the Colorado River Compact shall not be reduced or prejudiced by any use of such water in the lower basin</w:t>
      </w:r>
      <w:r>
        <w:rPr/>
        <w:t>.”</w:t>
      </w:r>
    </w:p>
    <w:p>
      <w:pPr>
        <w:pStyle w:val="Normal"/>
        <w:spacing w:before="0" w:after="0"/>
        <w:rPr/>
      </w:pPr>
      <w:r>
        <w:rPr/>
        <w:br/>
        <w:t>This provision was a key Upper Basin protection inserted in 1968 to safeguard against Lower Basin development (especially the then-new CAP) impairing Upper Basin Compact rights.</w:t>
      </w:r>
    </w:p>
    <w:p>
      <w:pPr>
        <w:pStyle w:val="Normal"/>
        <w:spacing w:before="0" w:after="0"/>
        <w:rPr/>
      </w:pPr>
      <w:r>
        <w:rPr/>
        <w:br/>
        <w:t xml:space="preserve">On the last page of the Tripwire Paper (Eric Kuhn &amp; John Fleck, 2025-ish draft): </w:t>
      </w:r>
    </w:p>
    <w:p>
      <w:pPr>
        <w:pStyle w:val="Normal"/>
        <w:spacing w:before="0" w:after="0"/>
        <w:rPr/>
      </w:pPr>
      <w:r>
        <w:rPr/>
      </w:r>
    </w:p>
    <w:p>
      <w:pPr>
        <w:pStyle w:val="Normal"/>
        <w:spacing w:before="0" w:after="0"/>
        <w:ind w:left="720" w:hanging="0"/>
        <w:rPr/>
      </w:pPr>
      <w:hyperlink r:id="rId6">
        <w:r>
          <w:rPr>
            <w:rStyle w:val="InternetLink"/>
          </w:rPr>
          <w:t>The 1922 Compact is Now the Obvious Elephant in the</w:t>
        </w:r>
      </w:hyperlink>
    </w:p>
    <w:p>
      <w:pPr>
        <w:pStyle w:val="Normal"/>
        <w:spacing w:before="0" w:after="0"/>
        <w:rPr/>
      </w:pPr>
      <w:r>
        <w:rPr/>
      </w:r>
    </w:p>
    <w:p>
      <w:pPr>
        <w:pStyle w:val="Normal"/>
        <w:spacing w:before="0" w:after="0"/>
        <w:rPr/>
      </w:pPr>
      <w:r>
        <w:rPr/>
        <w:t>It concludes that the system is on track to breach the “tripwire” (10-year Lee Ferry flow &lt; 82.5 MAF) soon unless unusually wet years occur. High releases (9 MAF 2015–2019) created a temporary bubble in the moving average, but as those years roll off and are replaced by lower releases (e.g., 8.23 MAF or the current ~7.48 MAF under most-probable scenarios), the 10-year total drops below 82.5 MAF. The paper argues there is “no painless strategy” that protects both Powell (&gt;3,500 ft) and the tripwire; the only real solution is a basin-wide enforceable agreement with Compact claim waivers.</w:t>
      </w:r>
    </w:p>
    <w:p>
      <w:pPr>
        <w:pStyle w:val="Normal"/>
        <w:spacing w:before="0" w:after="0"/>
        <w:rPr/>
      </w:pPr>
      <w:r>
        <w:rPr/>
        <w:br/>
      </w:r>
      <w:r>
        <w:rPr>
          <w:b/>
          <w:bCs/>
        </w:rPr>
        <w:t>The “Tripwire” and Article III(c) Connection</w:t>
      </w:r>
      <w:r>
        <w:rPr/>
        <w:t xml:space="preserve"> </w:t>
      </w:r>
    </w:p>
    <w:p>
      <w:pPr>
        <w:pStyle w:val="Normal"/>
        <w:spacing w:before="0" w:after="0"/>
        <w:rPr/>
      </w:pPr>
      <w:r>
        <w:rPr/>
        <w:t>The 82.5 MAF figure is not just Article III(d)’s 75 MAF/10-year non-depletion obligation. It incorporates an interpretation of Article III(c) of the 1922 Compact: if there is no surplus above the 16 MAF apportioned to both basins (7.5 each), the Upper Basin must deliver its half-share of Mexico’s 1.5 MAF treaty obligation (0.75 MAF/year = 7.5 MAF/10 years) at Lee Ferry, for a total delivery obligation of 82.5 MAF. • Upper Basin view: III(c) creates an additional delivery requirement once “surplus” is exhausted. • Lower Basin view (historically): Surplus (including Lower Basin overuse above 8.5 MAF) covers Mexico first; Upper’s extra obligation is minimal or conditional.</w:t>
      </w:r>
    </w:p>
    <w:p>
      <w:pPr>
        <w:pStyle w:val="Normal"/>
        <w:spacing w:before="0" w:after="0"/>
        <w:rPr/>
      </w:pPr>
      <w:r>
        <w:rPr/>
        <w:br/>
        <w:t>The 2007 Interim Guidelines (Record of Decision) embedded operational assumptions that leaned toward the Lower Basin interpretation by coordinating Powell releases to protect Mead elevations. This produced the 9 MAF releases when Mead was in the ~1,075–1,100 ft range (the “sweet spot” that avoided Lower Basin shortages while triggering higher Powell releases under equalization/balancing rules):</w:t>
      </w:r>
    </w:p>
    <w:p>
      <w:pPr>
        <w:pStyle w:val="Normal"/>
        <w:spacing w:before="0" w:after="0"/>
        <w:rPr/>
      </w:pPr>
      <w:r>
        <w:rPr/>
      </w:r>
    </w:p>
    <w:p>
      <w:pPr>
        <w:pStyle w:val="Normal"/>
        <w:spacing w:before="0" w:after="0"/>
        <w:ind w:left="720" w:hanging="0"/>
        <w:rPr/>
      </w:pPr>
      <w:hyperlink r:id="rId7">
        <w:r>
          <w:rPr>
            <w:rStyle w:val="InternetLink"/>
          </w:rPr>
          <w:t>The Lower Basin Drought Contingency Plan: Development and Delays</w:t>
        </w:r>
      </w:hyperlink>
    </w:p>
    <w:p>
      <w:pPr>
        <w:pStyle w:val="Normal"/>
        <w:spacing w:before="0" w:after="0"/>
        <w:ind w:left="720" w:hanging="0"/>
        <w:rPr/>
      </w:pPr>
      <w:r>
        <w:rPr/>
        <w:t>William Tintor</w:t>
      </w:r>
    </w:p>
    <w:p>
      <w:pPr>
        <w:pStyle w:val="Normal"/>
        <w:spacing w:before="0" w:after="0"/>
        <w:ind w:left="720" w:hanging="0"/>
        <w:rPr/>
      </w:pPr>
      <w:r>
        <w:rPr/>
        <w:t>Water Policy in Arizona and the Semi-arid West – Research Paper</w:t>
      </w:r>
    </w:p>
    <w:p>
      <w:pPr>
        <w:pStyle w:val="Normal"/>
        <w:spacing w:before="0" w:after="0"/>
        <w:rPr/>
      </w:pPr>
      <w:r>
        <w:rPr/>
        <w:br/>
        <w:t xml:space="preserve">CAP’s “Sweet Spot” Strategy In 2017–2018, CAP (and Arizona) openly discussed managing demands to keep Mead in the elevation band that triggered higher Powell releases (~9 MAF) while avoiding formal shortage declarations. </w:t>
      </w:r>
    </w:p>
    <w:p>
      <w:pPr>
        <w:pStyle w:val="Normal"/>
        <w:spacing w:before="0" w:after="0"/>
        <w:rPr/>
      </w:pPr>
      <w:r>
        <w:rPr/>
      </w:r>
    </w:p>
    <w:p>
      <w:pPr>
        <w:pStyle w:val="Normal"/>
        <w:spacing w:before="0" w:after="0"/>
        <w:rPr/>
      </w:pPr>
      <w:r>
        <w:rPr/>
        <w:t>Upper Basin states (via UCRC) accused Arizona/CAP of “gaming” or “manipulating” the guidelines to extract extra water from Powell storage at Upper Basin expense. This was widely reported as a flash point (e.g., Upper Basin representatives called it undermining the purpose of coordinated operations). These high releases temporarily kept the 10-year Lee Ferry average high but depleted Powell storage and inflated the moving average. As those 9 MAF years fall out (starting ~2025–2027) and are replaced by lower releases, the average is projected to cross below 82.5 MAF.</w:t>
      </w:r>
    </w:p>
    <w:p>
      <w:pPr>
        <w:pStyle w:val="Normal"/>
        <w:spacing w:before="0" w:after="0"/>
        <w:rPr/>
      </w:pPr>
      <w:r>
        <w:rPr/>
        <w:br/>
        <w:t xml:space="preserve">How This Ties to a Section 603 Breach Argument If the 10-year flow drops below 82.5 MAF: </w:t>
      </w:r>
    </w:p>
    <w:p>
      <w:pPr>
        <w:pStyle w:val="Normal"/>
        <w:numPr>
          <w:ilvl w:val="0"/>
          <w:numId w:val="7"/>
        </w:numPr>
        <w:spacing w:before="0" w:after="0"/>
        <w:rPr/>
      </w:pPr>
      <w:r>
        <w:rPr/>
        <w:t xml:space="preserve">Lower Basin states could argue a Compact violation (“Compact call”). • This would pressure Upper Basin states to curtail uses (post-Compact rights first) to restore deliveries. </w:t>
      </w:r>
    </w:p>
    <w:p>
      <w:pPr>
        <w:pStyle w:val="Normal"/>
        <w:numPr>
          <w:ilvl w:val="0"/>
          <w:numId w:val="7"/>
        </w:numPr>
        <w:spacing w:before="0" w:after="0"/>
        <w:rPr/>
      </w:pPr>
      <w:r>
        <w:rPr/>
        <w:t>That curtailment would be a direct reduction/prejudice to Upper Basin consumptive uses—precisely what Section 603(a) forbids if caused by Lower Basin uses/operations.</w:t>
      </w:r>
    </w:p>
    <w:p>
      <w:pPr>
        <w:pStyle w:val="Normal"/>
        <w:spacing w:before="0" w:after="0"/>
        <w:rPr/>
      </w:pPr>
      <w:r>
        <w:rPr/>
        <w:br/>
        <w:t>The chain of causation runs through:</w:t>
        <w:br/>
        <w:t>1. The 2007 Guidelines’ interpretation/operation of III(c) and coordinated releases.</w:t>
        <w:br/>
        <w:t>2. CAP’s demand management to stay in the high-release “sweet spot.”</w:t>
        <w:br/>
        <w:t>3. The resulting excessive Powell drawdown.</w:t>
        <w:br/>
        <w:t>4. The current low-release regime that exposes the tripwire risk.</w:t>
        <w:br/>
        <w:t>Upper Basin interests could argue this was foreseeable, that the guidelines were administered in a way that favored Lower Basin deliveries over Upper Basin storage protection, and that Section 603 (a federal statute) overrides or constrains such prejudice.</w:t>
      </w:r>
    </w:p>
    <w:p>
      <w:pPr>
        <w:pStyle w:val="Normal"/>
        <w:spacing w:before="0" w:after="0"/>
        <w:rPr/>
      </w:pPr>
      <w:r>
        <w:rPr/>
        <w:br/>
      </w:r>
      <w:r>
        <w:rPr>
          <w:b/>
          <w:bCs/>
        </w:rPr>
        <w:t xml:space="preserve">Counterpoints and Realities </w:t>
      </w:r>
    </w:p>
    <w:p>
      <w:pPr>
        <w:pStyle w:val="Normal"/>
        <w:numPr>
          <w:ilvl w:val="0"/>
          <w:numId w:val="7"/>
        </w:numPr>
        <w:spacing w:before="0" w:after="0"/>
        <w:rPr/>
      </w:pPr>
      <w:r>
        <w:rPr/>
        <w:t>The guidelines were negotiated with Upper Basin participation (though many Upper Basin voices later felt the “sweet spot” dynamics were not fully anticipated). However Upper Basin negotiators were under duress from litigation threats.</w:t>
      </w:r>
    </w:p>
    <w:p>
      <w:pPr>
        <w:pStyle w:val="Normal"/>
        <w:numPr>
          <w:ilvl w:val="0"/>
          <w:numId w:val="7"/>
        </w:numPr>
        <w:spacing w:before="0" w:after="0"/>
        <w:rPr/>
      </w:pPr>
      <w:r>
        <w:rPr/>
        <w:t xml:space="preserve">Reclamation administers the dams under the CRBPA and prior acts; courts give deference to federal operational discretion. </w:t>
      </w:r>
    </w:p>
    <w:p>
      <w:pPr>
        <w:pStyle w:val="Normal"/>
        <w:numPr>
          <w:ilvl w:val="0"/>
          <w:numId w:val="7"/>
        </w:numPr>
        <w:spacing w:before="0" w:after="0"/>
        <w:rPr/>
      </w:pPr>
      <w:r>
        <w:rPr/>
        <w:t>No court has ever ruled on the exact III(c) delivery obligation or enforced the 82.5 MAF tripwire.</w:t>
      </w:r>
    </w:p>
    <w:p>
      <w:pPr>
        <w:pStyle w:val="Normal"/>
        <w:numPr>
          <w:ilvl w:val="0"/>
          <w:numId w:val="7"/>
        </w:numPr>
        <w:spacing w:before="0" w:after="0"/>
        <w:rPr/>
      </w:pPr>
      <w:r>
        <w:rPr/>
        <w:t>The Tripwire paper itself essentially concedes that litigation is a dead end (“will not create an additional drop of water”) and that the only viable path is negotiation + waiver of Compact claims.</w:t>
      </w:r>
    </w:p>
    <w:p>
      <w:pPr>
        <w:pStyle w:val="Normal"/>
        <w:spacing w:before="0" w:after="0"/>
        <w:rPr/>
      </w:pPr>
      <w:r>
        <w:rPr/>
        <w:br/>
        <w:t>In short: Yes, a strong policy/legal case exists that the described actions have prejudiced Upper Basin rights in violation of Section 603(a)’s plain language, especially if curtailment results. Whether a court would agree is another matter—the politics and federal authority make litigation risky for everyone. The paper’s conclusion is probably right: the only realistic escape is a comprehensive, enforceable basin-wide deal.</w:t>
      </w:r>
    </w:p>
    <w:p>
      <w:pPr>
        <w:pStyle w:val="Normal"/>
        <w:rPr/>
      </w:pPr>
      <w:r>
        <w:rPr/>
      </w:r>
      <w:r>
        <w:br w:type="page"/>
      </w:r>
    </w:p>
    <w:p>
      <w:pPr>
        <w:pStyle w:val="Heading2"/>
        <w:rPr/>
      </w:pPr>
      <w:r>
        <w:rPr/>
        <w:t>Gila River</w:t>
      </w:r>
    </w:p>
    <w:p>
      <w:pPr>
        <w:pStyle w:val="Normal"/>
        <w:rPr>
          <w:b/>
          <w:b/>
          <w:bCs/>
        </w:rPr>
      </w:pPr>
      <w:r>
        <w:rPr>
          <w:b/>
          <w:bCs/>
        </w:rPr>
        <w:t>Objective: A subject for discussion, consideration should be given to resolving two long running disputes, Article III(b) and Gila Tributary use by Arizona.  The proposal would be to revert Article III(b) from surplus water for Arizona and California to Norviel’s original ask.  Article III(b) was supposed to cover 1 MAF of natural flow of the Gila at the confluence with the Colorado.  This would effectively remove both from the Compact and greatly simplify it, especially III(b)’s role in surplus water in the III(c) dispute.  The III(b) water simply isn’t there.  California needs to stay under 4.4 MAF limitation and should no longer use III(b).</w:t>
      </w:r>
    </w:p>
    <w:p>
      <w:pPr>
        <w:pStyle w:val="Normal"/>
        <w:spacing w:before="0" w:after="200"/>
        <w:rPr/>
      </w:pPr>
      <w:r>
        <w:rPr/>
        <w:t xml:space="preserve">The Colorado River Compact(1922) divides the river into Upper Basin (Colorado, New Mexico, Utah, Wyoming) and Lower Basin (Arizona, California, Nevada), apportioning 7.5 million acre-feet (maf) annually of beneficial consumptive use from the </w:t>
      </w:r>
      <w:r>
        <w:rPr>
          <w:b/>
          <w:bCs/>
        </w:rPr>
        <w:t>Colorado River System</w:t>
      </w:r>
      <w:r>
        <w:rPr/>
        <w:t xml:space="preserve"> to each basin. The compact defines the </w:t>
      </w:r>
      <w:r>
        <w:rPr>
          <w:b/>
          <w:bCs/>
        </w:rPr>
        <w:t xml:space="preserve">Colorado River System </w:t>
      </w:r>
      <w:r>
        <w:rPr/>
        <w:t xml:space="preserve">explicitly as the Colorado River mainstem </w:t>
      </w:r>
      <w:r>
        <w:rPr>
          <w:b/>
          <w:bCs/>
        </w:rPr>
        <w:t>and all its tributaries</w:t>
      </w:r>
      <w:r>
        <w:rPr/>
        <w:t>**.</w:t>
        <w:br/>
        <w:br/>
      </w:r>
      <w:r>
        <w:rPr>
          <w:b/>
          <w:bCs/>
        </w:rPr>
        <w:t>Upper Basin's Core Claim</w:t>
      </w:r>
      <w:r>
        <w:rPr/>
        <w:br/>
        <w:t>The Upper Basin argues that Arizona's consumptive uses from the **Gila River**—a major tributary that arises in New Mexico but flows primarily through Arizona in the Lower Basin—must count against Arizona's (and thus the Lower Basin's) 7.5 maf allocation. Their reasoning rests on the compact's plain text:</w:t>
        <w:br/>
        <w:br/>
        <w:t>- The allocation is from the entire "system" (mainstem + tributaries).</w:t>
        <w:br/>
        <w:t>- Any depletion in the Lower Basin from system waters, including Gila diversions for irrigation or other uses, consumes part of the Lower Basin's apportioned share.</w:t>
        <w:br/>
        <w:br/>
        <w:t>This interpretation aims to treat basins symmetrically: Upper Basin tributary uses (above Lee Ferry, the division point) reduce flow delivered downstream and count against the Upper Basin's share. Lower Basin tributary uses (below Lee Ferry, like the Gila) should similarly count against its share.</w:t>
        <w:br/>
        <w:br/>
      </w:r>
      <w:r>
        <w:rPr>
          <w:b/>
          <w:bCs/>
        </w:rPr>
        <w:t>Why Upper Basin Views This as Inequitable</w:t>
      </w:r>
      <w:r>
        <w:rPr/>
        <w:br/>
        <w:t xml:space="preserve">Without counting Gila uses, the Lower Basin effectively gets its full 7.5 maf from the mainstem (delivered at Lee Ferry) </w:t>
      </w:r>
      <w:r>
        <w:rPr>
          <w:b/>
          <w:bCs/>
        </w:rPr>
        <w:t>plus</w:t>
      </w:r>
      <w:r>
        <w:rPr/>
        <w:t xml:space="preserve"> essentially unlimited additional water from post-Lee Ferry tributaries (primarily the Gila for Arizona). This asymmetry means the Lower Basin can exceed the intended 7.5 maf system-wide use, while the Upper Basin bears full risk of hydrologic variability (e.g., drought reduces natural flow, forcing potential curtailments upstream to avoid "depleting" below compact levels).</w:t>
        <w:br/>
        <w:br/>
      </w:r>
      <w:r>
        <w:rPr>
          <w:b/>
          <w:bCs/>
        </w:rPr>
        <w:t>Counterpoint from the 1963 Supreme Court Ruling</w:t>
      </w:r>
      <w:r>
        <w:rPr/>
        <w:br/>
        <w:t xml:space="preserve">The U.S. Supreme Court in *Arizona v. California* (1963), interpreting the Boulder Canyon Project Act (1928) that operationalized the compact for the Lower Basin, ruled that the intrastate apportionments (AZ: 2.8 maf; CA: 4.4 maf; NV: 0.3 maf) apply </w:t>
      </w:r>
      <w:r>
        <w:rPr>
          <w:b/>
          <w:bCs/>
        </w:rPr>
        <w:t>only to mainstem water.</w:t>
      </w:r>
      <w:r>
        <w:rPr/>
        <w:t xml:space="preserve"> Tributary uses, including Arizona's Gila River diversions, are separate and not charged against those allocations. This decree governs Lower Basin mainstem deliveries by the U.S. Secretary of the Interior and has allowed Arizona historic Gila uses without reducing its mainstem entitlement.</w:t>
        <w:br/>
        <w:br/>
      </w:r>
      <w:r>
        <w:rPr>
          <w:b/>
          <w:bCs/>
        </w:rPr>
        <w:t>Ongoing Relevance</w:t>
      </w:r>
      <w:r>
        <w:rPr/>
        <w:br/>
        <w:t>The Upper Basin contends the 1963 decree addresses only mainstem apportionment among Lower states and does not override the compact's broader system-wide limit on Lower Basin uses. This argument serves as leverage in disputes, particularly to counter potential "compact calls" (Lower Basin demands for stricter Upper deliveries) or in post-2026 reservoir operations negotiations, where shortage-sharing remains contentious. As of early 2026, basin-wide talks reflect ongoing impasse over risk allocation, with this tributary accounting issue contributing to underlying tensions.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sbr.gov/uc/DocLibrary/Memos/20240326-EstablishmentInterimOperatingGuidanceGlenCanyonDamLowReservoirLevels-TechnicalDecisionMemo-508-TSC.pdf" TargetMode="External"/><Relationship Id="rId3" Type="http://schemas.openxmlformats.org/officeDocument/2006/relationships/hyperlink" Target="https://arizonalawreview.org/schiffer-guenther/" TargetMode="External"/><Relationship Id="rId4" Type="http://schemas.openxmlformats.org/officeDocument/2006/relationships/hyperlink" Target="https://www.varuna.io/LOTR/2004/CWCB_November_Letters_to_Norton.pdf" TargetMode="External"/><Relationship Id="rId5" Type="http://schemas.openxmlformats.org/officeDocument/2006/relationships/hyperlink" Target="https://www.varuna.io/LOTR/1968/crbproj.pdf" TargetMode="External"/><Relationship Id="rId6" Type="http://schemas.openxmlformats.org/officeDocument/2006/relationships/hyperlink" Target="https://www.inkstain.net/wp-content/uploads/Tripwire-Paper-FINAL.pdf" TargetMode="External"/><Relationship Id="rId7" Type="http://schemas.openxmlformats.org/officeDocument/2006/relationships/hyperlink" Target="https://library.cap-az.com/documents/education/2018-Tintor.pdf"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Application>LibreOffice/7.3.7.2$Linux_AARCH64 LibreOffice_project/30$Build-2</Application>
  <AppVersion>15.0000</AppVersion>
  <Pages>15</Pages>
  <Words>3969</Words>
  <Characters>21192</Characters>
  <CharactersWithSpaces>25082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2026-02-08T23:31:02Z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