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xlsx" ContentType="application/vnd.openxmlformats-officedocument.spreadsheetml.sheet"/>
  <Override PartName="/word/media/image1.emf" ContentType="image/x-emf"/>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Lower Basin Return Flows</w:t>
      </w:r>
    </w:p>
    <w:p>
      <w:pPr>
        <w:pStyle w:val="Normal"/>
        <w:jc w:val="center"/>
        <w:rPr/>
      </w:pPr>
      <w:r>
        <w:rPr>
          <w:b/>
          <w:sz w:val="48"/>
        </w:rPr>
        <w:t>Circa 2002-2003</w:t>
      </w:r>
    </w:p>
    <w:p>
      <w:pPr>
        <w:pStyle w:val="Normal"/>
        <w:jc w:val="center"/>
        <w:rPr>
          <w:b/>
          <w:b/>
          <w:sz w:val="48"/>
        </w:rPr>
      </w:pPr>
      <w:r>
        <w:rPr>
          <w:b/>
          <w:sz w:val="48"/>
        </w:rPr>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 xml:space="preserve">Date: March </w:t>
      </w:r>
      <w:r>
        <w:rPr>
          <w:sz w:val="28"/>
        </w:rPr>
        <w:t>6</w:t>
      </w:r>
      <w:r>
        <w:rPr>
          <w:sz w:val="28"/>
        </w:rPr>
        <w:t>, 2026</w:t>
      </w:r>
    </w:p>
    <w:p>
      <w:pPr>
        <w:pStyle w:val="Normal"/>
        <w:jc w:val="center"/>
        <w:rPr/>
      </w:pPr>
      <w:r>
        <w:rPr>
          <w:sz w:val="28"/>
        </w:rPr>
        <w:t>Version  1.0a</w:t>
      </w:r>
    </w:p>
    <w:p>
      <w:pPr>
        <w:pStyle w:val="Normal"/>
        <w:jc w:val="center"/>
        <w:rPr>
          <w:sz w:val="22"/>
          <w:szCs w:val="22"/>
        </w:rPr>
      </w:pPr>
      <w:r>
        <w:rPr/>
      </w:r>
    </w:p>
    <w:p>
      <w:pPr>
        <w:pStyle w:val="Normal"/>
        <w:rPr/>
      </w:pPr>
      <w:r>
        <w:rPr/>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0024_4147804815">
            <w:r>
              <w:rPr>
                <w:rStyle w:val="IndexLink"/>
              </w:rPr>
              <w:t>Disclaimer</w:t>
              <w:tab/>
              <w:t>3</w:t>
            </w:r>
          </w:hyperlink>
        </w:p>
        <w:p>
          <w:pPr>
            <w:pStyle w:val="Contents1"/>
            <w:tabs>
              <w:tab w:val="clear" w:pos="12960"/>
              <w:tab w:val="right" w:pos="9360" w:leader="dot"/>
            </w:tabs>
            <w:rPr/>
          </w:pPr>
          <w:hyperlink w:anchor="__RefHeading___Toc640_3032085257">
            <w:r>
              <w:rPr>
                <w:rStyle w:val="IndexLink"/>
              </w:rPr>
              <w:t>Lower Basin Return Flow Adjustments 2002-2003</w:t>
              <w:tab/>
              <w:t>4</w:t>
            </w:r>
          </w:hyperlink>
          <w:r>
            <w:rPr>
              <w:rStyle w:val="IndexLink"/>
            </w:rPr>
            <w:fldChar w:fldCharType="end"/>
          </w:r>
        </w:p>
      </w:sdtContent>
    </w:sdt>
    <w:p>
      <w:pPr>
        <w:pStyle w:val="Heading1"/>
        <w:rPr/>
      </w:pPr>
      <w:r>
        <w:br w:type="page"/>
      </w:r>
      <w:bookmarkStart w:id="0" w:name="__RefHeading___Toc10024_4147804815"/>
      <w:bookmarkEnd w:id="0"/>
      <w:r>
        <w:rPr/>
        <w:t>Disclaimer</w:t>
      </w:r>
    </w:p>
    <w:p>
      <w:pPr>
        <w:pStyle w:val="Normal"/>
        <w:spacing w:before="0" w:after="0"/>
        <w:rPr/>
      </w:pPr>
      <w:r>
        <w:rPr>
          <w:b/>
          <w:bCs/>
        </w:rPr>
        <w:t>Disclaimer: I, Ed Millard, am a knowledgeable citizen but I do not speak for Colorado or the UCRC.  I do not work for the State of Colorado.  I am an informal water policy advisor to Colorado Representative Larry Don Suckla who represents counties in Southwestern Colorado and have been for more than a decade.  I am not a lawyer. I an not a Professional Engineer. I am concerned the current doom loop in the Colorado River will not end well for anyone.  There are many legal arguments in this paper, they should in no way be treated as actual legal threats or basis for actual litigation even if they sound that way.  They are provided purely to spark conversation about and better understanding of these complex issues among people who are not lawyers.</w:t>
      </w:r>
      <w:r>
        <w:br w:type="page"/>
      </w:r>
    </w:p>
    <w:p>
      <w:pPr>
        <w:pStyle w:val="Heading1"/>
        <w:rPr/>
      </w:pPr>
      <w:bookmarkStart w:id="1" w:name="__RefHeading___Toc640_3032085257"/>
      <w:bookmarkEnd w:id="1"/>
      <w:r>
        <w:rPr/>
        <w:t>Lower Basin Return Flow Adjustments 2002-2003</w:t>
      </w:r>
    </w:p>
    <w:p>
      <w:pPr>
        <w:pStyle w:val="Normal"/>
        <w:rPr/>
      </w:pPr>
      <w:r>
        <w:rPr/>
        <w:t>With the onset of the 2002 drought and the 2003 Quantitative Settlement Agreement(QSA) Lower Basin states under took an aggressive effort to quantify their return flows in concert with the Bureau of Reclamation.  They did this because as they increased their return flows the</w:t>
      </w:r>
      <w:r>
        <w:rPr/>
        <w:t>y</w:t>
      </w:r>
      <w:r>
        <w:rPr/>
        <w:t xml:space="preserve"> could increase their diversions from the River but their consumptive use would stay the same for accounting purposes, </w:t>
      </w:r>
      <w:r>
        <w:rPr/>
        <w:t>they got more water.</w:t>
      </w:r>
    </w:p>
    <w:p>
      <w:pPr>
        <w:pStyle w:val="Normal"/>
        <w:rPr/>
      </w:pPr>
      <w:r>
        <w:rPr/>
        <w:t>I’m told the</w:t>
      </w:r>
      <w:r>
        <w:rPr/>
        <w:t xml:space="preserve"> UCRC’</w:t>
      </w:r>
      <w:r>
        <w:rPr/>
        <w:t xml:space="preserve">s </w:t>
      </w:r>
      <w:r>
        <w:rPr/>
        <w:t xml:space="preserve">Don Ostler was aware of this campaign and monitored it to insure its appropriateness.  With Arizona’s penchant for gaming all things water it is possible they maximized there take from the River </w:t>
      </w:r>
      <w:r>
        <w:rPr/>
        <w:t>with this</w:t>
      </w:r>
      <w:r>
        <w:rPr/>
        <w:t xml:space="preserve">, though hopefully the Bureau </w:t>
      </w:r>
      <w:r>
        <w:rPr/>
        <w:t>and Ostler</w:t>
      </w:r>
      <w:r>
        <w:rPr/>
        <w:t xml:space="preserve"> insured this was not the case.</w:t>
      </w:r>
    </w:p>
    <w:p>
      <w:pPr>
        <w:pStyle w:val="Normal"/>
        <w:rPr/>
      </w:pPr>
      <w:r>
        <w:rPr/>
        <w:t xml:space="preserve">It’s important to note this </w:t>
      </w:r>
      <w:r>
        <w:rPr/>
        <w:t>fact</w:t>
      </w:r>
      <w:r>
        <w:rPr/>
        <w:t xml:space="preserve"> when analyzing River losses before and after 2003.  </w:t>
      </w:r>
      <w:r>
        <w:rPr/>
        <w:t>that b</w:t>
      </w:r>
      <w:r>
        <w:rPr/>
        <w:t xml:space="preserve">efore 2003 some losses may have been covered by unaccounted for return flows, while from 2003 on </w:t>
      </w:r>
      <w:r>
        <w:rPr/>
        <w:t xml:space="preserve">the River was running leaner. </w:t>
      </w:r>
      <w:r>
        <w:rPr/>
        <w:t>At this same time accounting transitioned from one return flow number to two, Measured and Unmeasured.</w:t>
      </w:r>
    </w:p>
    <w:p>
      <w:pPr>
        <w:pStyle w:val="Normal"/>
        <w:rPr/>
      </w:pPr>
      <w:r>
        <w:rPr/>
        <w:t>It should be noted a good 3.</w:t>
      </w:r>
      <w:r>
        <w:rPr/>
        <w:t>3</w:t>
      </w:r>
      <w:r>
        <w:rPr/>
        <w:t xml:space="preserve"> MAF of CA’s water </w:t>
      </w:r>
      <w:r>
        <w:rPr/>
        <w:t>was</w:t>
      </w:r>
      <w:r>
        <w:rPr/>
        <w:t xml:space="preserve"> going to Imperial </w:t>
      </w:r>
      <w:r>
        <w:rPr/>
        <w:t xml:space="preserve">in 2003 </w:t>
      </w:r>
      <w:r>
        <w:rPr/>
        <w:t xml:space="preserve">which has minimal return flows, </w:t>
      </w:r>
      <w:r>
        <w:rPr/>
        <w:t>a</w:t>
      </w:r>
      <w:r>
        <w:rPr/>
        <w:t xml:space="preserve"> transbasin diversion,</w:t>
      </w:r>
      <w:r>
        <w:rPr/>
        <w:t xml:space="preserve"> so their return flow gains were pretty good for the </w:t>
      </w:r>
      <w:r>
        <w:rPr/>
        <w:t xml:space="preserve">remaining 1.1 MAF in 2003. </w:t>
      </w:r>
    </w:p>
    <w:p>
      <w:pPr>
        <w:pStyle w:val="Normal"/>
        <w:rPr/>
      </w:pPr>
      <w:r>
        <w:rPr/>
        <w:t>Also not</w:t>
      </w:r>
      <w:r>
        <w:rPr/>
        <w:t>e</w:t>
      </w:r>
      <w:r>
        <w:rPr/>
        <w:t xml:space="preserve"> CA diverted much more water in 2002, 5.36 MAF, </w:t>
      </w:r>
      <w:r>
        <w:rPr/>
        <w:t>a severe drought year,</w:t>
      </w:r>
      <w:r>
        <w:rPr/>
        <w:t xml:space="preserve"> while </w:t>
      </w:r>
      <w:r>
        <w:rPr/>
        <w:t xml:space="preserve">in </w:t>
      </w:r>
      <w:r>
        <w:rPr/>
        <w:t xml:space="preserve">2003 they were </w:t>
      </w:r>
      <w:r>
        <w:rPr/>
        <w:t>around</w:t>
      </w:r>
      <w:r>
        <w:rPr/>
        <w:t xml:space="preserve"> 4.4 MAF under QSA’s enforced limitation so their actual return flows were higher in 2002.  </w:t>
      </w:r>
      <w:r>
        <w:rPr/>
        <w:t>T</w:t>
      </w:r>
      <w:r>
        <w:rPr/>
        <w:t xml:space="preserve">he return flow increase between 2002 and 2003 might’ve actually been greater than </w:t>
      </w:r>
      <w:r>
        <w:rPr/>
        <w:t>shown below.</w:t>
      </w:r>
    </w:p>
    <w:p>
      <w:pPr>
        <w:pStyle w:val="Normal"/>
        <w:rPr/>
      </w:pPr>
      <w:r>
        <w:rPr/>
        <w:t xml:space="preserve">To quantify these losses, or even notice them, you need to do </w:t>
      </w:r>
      <w:r>
        <w:rPr/>
        <w:t xml:space="preserve">a </w:t>
      </w:r>
      <w:r>
        <w:rPr/>
        <w:t xml:space="preserve">side by side comparison of the annual reports </w:t>
      </w:r>
      <w:r>
        <w:rPr/>
        <w:t xml:space="preserve">for 2002 and 2003 for CA and AZ Total Return Flows. </w:t>
      </w:r>
      <w:r>
        <w:rPr/>
        <w:t>I noticed the CUL data the Bureau provided you starts in 2006 which is after this accounting shift.</w:t>
      </w:r>
    </w:p>
    <w:p>
      <w:pPr>
        <w:pStyle w:val="Normal"/>
        <w:rPr/>
      </w:pPr>
      <w:r>
        <w:rPr/>
        <w:t>I wish I’d known you needed the Lower Basin Accounting Report CU, Return Flow and Diversion data, I’ve had it since 2022 when I reproduced the SNWA Loss Study.  It was quite painful but I digitized it all the way back to 1964 using OCR  This was very challenging on reports based on dot matrix printers, mimeographs, typewriters and some pencil corrections.  This data only goes to 2022, has defects so be careful, I am working on updating, correcting and verifying it for my “The Math” project:</w:t>
      </w:r>
    </w:p>
    <w:p>
      <w:pPr>
        <w:pStyle w:val="Normal"/>
        <w:ind w:left="720" w:hanging="0"/>
        <w:rPr/>
      </w:pPr>
      <w:hyperlink r:id="rId2">
        <w:r>
          <w:rPr>
            <w:rStyle w:val="InternetLink"/>
          </w:rPr>
          <w:t>Lower Basin Annual Report Data</w:t>
        </w:r>
      </w:hyperlink>
    </w:p>
    <w:p>
      <w:pPr>
        <w:pStyle w:val="Normal"/>
        <w:rPr/>
      </w:pPr>
      <w:r>
        <w:rPr/>
      </w:r>
    </w:p>
    <w:p>
      <w:pPr>
        <w:pStyle w:val="Normal"/>
        <w:rPr/>
      </w:pPr>
      <w:r>
        <w:rPr/>
      </w:r>
    </w:p>
    <w:p>
      <w:pPr>
        <w:pStyle w:val="Normal"/>
        <w:rPr/>
      </w:pPr>
      <w:r>
        <w:rPr/>
        <w:object w:dxaOrig="9282" w:dyaOrig="4097">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position:absolute;margin-left:1.95pt;margin-top:0pt;width:464.1pt;height:204.85pt;mso-position-horizontal-relative:text;mso-position-vertical-relative:text" filled="f" o:ole="">
            <v:imagedata r:id="rId4" o:title=""/>
            <w10:wrap type="square" side="largest"/>
          </v:shape>
          <o:OLEObject Type="Embed" ProgID="Excel.Sheet.12" ShapeID="ole_rId3" DrawAspect="Content" ObjectID="_625405477" r:id="rId3"/>
        </w:object>
      </w:r>
    </w:p>
    <w:p>
      <w:pPr>
        <w:pStyle w:val="Normal"/>
        <w:rPr/>
      </w:pPr>
      <w:r>
        <w:rPr/>
      </w:r>
      <w:r>
        <w:br w:type="page"/>
      </w:r>
    </w:p>
    <w:p>
      <w:pPr>
        <w:pStyle w:val="Normal"/>
        <w:spacing w:before="0" w:after="200"/>
        <w:rPr/>
      </w:pPr>
      <w:r>
        <w:rPr/>
      </w:r>
    </w:p>
    <w:sectPr>
      <w:footerReference w:type="default" r:id="rId5"/>
      <w:type w:val="nextPage"/>
      <w:pgSz w:w="12240" w:h="15840"/>
      <w:pgMar w:left="1440" w:right="144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Millard/riverwar/tree/main/data/USBR_Reports" TargetMode="External"/><Relationship Id="rId3" Type="http://schemas.openxmlformats.org/officeDocument/2006/relationships/package" Target="embeddings/oleObject1.xlsx"/><Relationship Id="rId4" Type="http://schemas.openxmlformats.org/officeDocument/2006/relationships/image" Target="media/image1.emf"/><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Application>LibreOffice/7.3.7.2$Linux_AARCH64 LibreOffice_project/30$Build-2</Application>
  <AppVersion>15.0000</AppVersion>
  <Pages>6</Pages>
  <Words>580</Words>
  <Characters>2787</Characters>
  <CharactersWithSpaces>3360</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2026-03-06T10:56:13Z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