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Project Charter - Superintendent Retirement Recognition and Naming Project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Organize a careful, dignified, legally sound, and broadly accepted recognition project for Superintendent Stephen Tomlinson, with a leading option of renaming the Junior/Senior High School as Stephen Tomlinson Junior/Senior High School.</w:t>
      </w:r>
    </w:p>
    <w:p>
      <w:pPr>
        <w:pStyle w:val="Heading1"/>
      </w:pPr>
      <w:r>
        <w:t>Working Context</w:t>
      </w:r>
    </w:p>
    <w:p>
      <w:r>
        <w:t xml:space="preserve">Board-led process; not a public campaign at the outset.</w:t>
      </w:r>
    </w:p>
    <w:p>
      <w:r>
        <w:t xml:space="preserve">Retirement public announcement expected around August 2026.</w:t>
      </w:r>
    </w:p>
    <w:p>
      <w:r>
        <w:t xml:space="preserve">Retirement expected late March or early April 2027.</w:t>
      </w:r>
    </w:p>
    <w:p>
      <w:r>
        <w:t xml:space="preserve">Recognition should avoid disrupting senior class of 2027 celebrations.</w:t>
      </w:r>
    </w:p>
    <w:p>
      <w:r>
        <w:t xml:space="preserve">All legal, NYSED, SEDREF, district policy, signage, and records implications must be verified before public announcement.</w:t>
      </w:r>
    </w:p>
    <w:p>
      <w:pPr>
        <w:pStyle w:val="Heading1"/>
      </w:pPr>
      <w:r>
        <w:t>Early Decision Points</w:t>
      </w:r>
    </w:p>
    <w:p>
      <w:r>
        <w:t xml:space="preserve">Whether and when to consult Stephen Tomlinson before formal action.</w:t>
      </w:r>
    </w:p>
    <w:p>
      <w:r>
        <w:t xml:space="preserve">Whether the board should complete formal action before the ceremony, or approve a resolution of intent first.</w:t>
      </w:r>
    </w:p>
    <w:p>
      <w:r>
        <w:t xml:space="preserve">Whether community input is legally, morally, or politically advisable before action.</w:t>
      </w:r>
    </w:p>
    <w:p>
      <w:r>
        <w:t xml:space="preserve">Whether the school, campus, athletic facility, or another district asset is the proper naming level.</w:t>
      </w:r>
    </w:p>
    <w:p>
      <w:pPr>
        <w:pStyle w:val="Heading1"/>
      </w:pPr>
      <w:r>
        <w:t>Core Values</w:t>
      </w:r>
    </w:p>
    <w:p>
      <w:r>
        <w:t xml:space="preserve">Institutional gratitude</w:t>
      </w:r>
    </w:p>
    <w:p>
      <w:r>
        <w:t xml:space="preserve">Historical accuracy</w:t>
      </w:r>
    </w:p>
    <w:p>
      <w:r>
        <w:t xml:space="preserve">Board ownership</w:t>
      </w:r>
    </w:p>
    <w:p>
      <w:r>
        <w:t xml:space="preserve">Legal and policy discipline</w:t>
      </w:r>
    </w:p>
    <w:p>
      <w:r>
        <w:t xml:space="preserve">Warmth without excess</w:t>
      </w:r>
    </w:p>
    <w:p>
      <w:r>
        <w:t xml:space="preserve">Smooth transition to new name usage</w:t>
      </w:r>
    </w:p>
    <w:p>
      <w:pPr>
        <w:pStyle w:val="Heading1"/>
      </w:pPr>
      <w:r>
        <w:t>Source Notes</w:t>
      </w:r>
    </w:p>
    <w:p>
      <w:r>
        <w:t xml:space="preserve">Starter background is drawn from the project planning prompt and Stephen Tomlinson biographical material provided for this planning effort.</w:t>
      </w:r>
    </w:p>
    <w:sectPr>
      <w:pgSz w:w="12240" w:h="15840"/>
      <w:pgMar w:top="1080" w:right="1080" w:bottom="1080" w:left="1080" w:header="720" w:footer="720" w:gutter="0"/>
    </w:sectPr>
  </w:body>
</w:document>
</file>