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Counsel Questions - Facility Naming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Questions for school counsel regarding the proposed naming or renaming of a district school, campus, athletic facility, or other asset.</w:t>
      </w:r>
    </w:p>
    <w:p>
      <w:pPr>
        <w:pStyle w:val="Heading1"/>
      </w:pPr>
      <w:r>
        <w:t>Questions to Verify</w:t>
      </w:r>
    </w:p>
    <w:p>
      <w:r>
        <w:t xml:space="preserve">What district policy governs naming or renaming a school or facility?</w:t>
      </w:r>
    </w:p>
    <w:p>
      <w:r>
        <w:t xml:space="preserve">Is a public hearing, public comment period, or community input process required or recommended?</w:t>
      </w:r>
    </w:p>
    <w:p>
      <w:r>
        <w:t xml:space="preserve">What Open Meetings Law constraints apply to early Board discussions?</w:t>
      </w:r>
    </w:p>
    <w:p>
      <w:r>
        <w:t xml:space="preserve">May the Board discuss strategy or individual reactions privately, or must those discussions occur in public session?</w:t>
      </w:r>
    </w:p>
    <w:p>
      <w:r>
        <w:t xml:space="preserve">What wording should be used for a resolution of intent versus final renaming action?</w:t>
      </w:r>
    </w:p>
    <w:p>
      <w:r>
        <w:t xml:space="preserve">What NYSED, SEDREF, or Public School Registration filings are required if the Junior/Senior High School official name changes?</w:t>
      </w:r>
    </w:p>
    <w:p>
      <w:r>
        <w:t xml:space="preserve">What is the recommended effective date and implementation sequence?</w:t>
      </w:r>
    </w:p>
    <w:p>
      <w:r>
        <w:t xml:space="preserve">Are there procurement or budget restrictions related to signage and displays?</w:t>
      </w:r>
    </w:p>
    <w:p>
      <w:pPr>
        <w:pStyle w:val="Heading1"/>
      </w:pPr>
      <w:r>
        <w:t>Status</w:t>
      </w:r>
    </w:p>
    <w:p>
      <w:r>
        <w:t xml:space="preserve">Stub - to be expanded after policy review and counsel consultation.</w:t>
      </w:r>
    </w:p>
    <w:sectPr>
      <w:pgSz w:w="12240" w:h="15840"/>
      <w:pgMar w:top="1080" w:right="1080" w:bottom="1080" w:left="1080" w:header="720" w:footer="720" w:gutter="0"/>
    </w:sectPr>
  </w:body>
</w:document>
</file>