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Facility Naming Policy - Research Notes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Collect district policy excerpts, NYSSBA-style guidance, and counsel-reviewed interpretation related to naming or renaming district facilities.</w:t>
      </w:r>
    </w:p>
    <w:p>
      <w:pPr>
        <w:pStyle w:val="Heading1"/>
      </w:pPr>
      <w:r>
        <w:t>Known Need</w:t>
      </w:r>
    </w:p>
    <w:p>
      <w:r>
        <w:t xml:space="preserve">Locate any Broadalbin-Perth facility naming policy or related Board policy. Confirm whether existing gym and auditorium naming precedents followed a documented policy.</w:t>
      </w:r>
    </w:p>
    <w:p>
      <w:pPr>
        <w:pStyle w:val="Heading1"/>
      </w:pPr>
      <w:r>
        <w:t>Status</w:t>
      </w:r>
    </w:p>
    <w:p>
      <w:r>
        <w:t xml:space="preserve">Stub - no final policy conclusion has been entered.</w:t>
      </w:r>
    </w:p>
    <w:sectPr>
      <w:pgSz w:w="12240" w:h="15840"/>
      <w:pgMar w:top="1080" w:right="1080" w:bottom="1080" w:left="1080" w:header="720" w:footer="720" w:gutter="0"/>
    </w:sectPr>
  </w:body>
</w:document>
</file>